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4A4E" w:rsidRPr="002310D4" w:rsidTr="00877CDB">
        <w:tc>
          <w:tcPr>
            <w:tcW w:w="4785" w:type="dxa"/>
          </w:tcPr>
          <w:p w:rsidR="00644A4E" w:rsidRDefault="00644A4E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644A4E" w:rsidRDefault="00644A4E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УТВЕРЖДЕН</w:t>
            </w:r>
          </w:p>
          <w:p w:rsidR="00644A4E" w:rsidRDefault="00644A4E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Наблюдательным советом автономного учреждения Чувашской Республики</w:t>
            </w:r>
          </w:p>
          <w:p w:rsidR="00644A4E" w:rsidRDefault="00644A4E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«Фонд развития промышленности и инвестиционной деятельности</w:t>
            </w:r>
          </w:p>
          <w:p w:rsidR="00644A4E" w:rsidRDefault="00644A4E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Чувашской Республике» </w:t>
            </w:r>
          </w:p>
          <w:p w:rsidR="00644A4E" w:rsidRDefault="00644A4E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Министерства промышленности и энергетики Чувашской Республики</w:t>
            </w:r>
          </w:p>
          <w:p w:rsidR="00644A4E" w:rsidRDefault="00644A4E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A4E" w:rsidRPr="002310D4" w:rsidRDefault="00644A4E" w:rsidP="0087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(п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>ротокол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№ 2 от 01 февраля 2021 г.)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</w:p>
        </w:tc>
      </w:tr>
    </w:tbl>
    <w:p w:rsidR="00644A4E" w:rsidRDefault="00644A4E" w:rsidP="00644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4A4E" w:rsidRDefault="00644A4E" w:rsidP="00644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4A4E" w:rsidRDefault="00644A4E" w:rsidP="00644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 Я Д О К </w:t>
      </w:r>
    </w:p>
    <w:p w:rsidR="00644A4E" w:rsidRDefault="00644A4E" w:rsidP="00644A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</w:t>
      </w:r>
    </w:p>
    <w:p w:rsidR="00644A4E" w:rsidRDefault="00644A4E" w:rsidP="00644A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4A4E" w:rsidRDefault="00644A4E" w:rsidP="00644A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644A4E" w:rsidRDefault="00644A4E" w:rsidP="00644A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1.1. Настоящий Порядок определяет порядок и условия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(далее – Фонд) займов на реализацию проектов в сфере развития промышленности (далее соответственно – проекты, Порядок).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Порядок согласован с Министерством промышленности и энергетики Чувашской Республики (письмо от </w:t>
      </w:r>
      <w:r w:rsidR="00FC5097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21.12.2021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 xml:space="preserve">№ </w:t>
      </w:r>
      <w:r w:rsidR="00FC5097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03/09-3460</w:t>
      </w:r>
      <w:bookmarkStart w:id="0" w:name="_GoBack"/>
      <w:bookmarkEnd w:id="0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1.2. Займы предоставляются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проектов, отобранных в соответствии с настоящим Порядком.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" w:name="_Hlk56683208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1.3. Основными целями предоставления займов являются: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стимулирование развития промышленности на территории Чувашской Республики;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повышение технического уровня и конкурентоспособности продукции, выпускаемой предприятиями Чувашской Республики;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повышение инвестиционной активности субъектов деятельности в сфере промышленности Чувашской Республики. </w:t>
      </w:r>
    </w:p>
    <w:bookmarkEnd w:id="1"/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1.4. Основные термины и определения: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Аффилированные лица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владелец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25% в капитале), либо имеет возможность контролировать его действия в силу иных оснований.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Гарант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График платежей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Группа лиц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День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рабочий день, определяемый в соответствии с действующим трудовым законодательством, если в настоящем Порядке не указано иное.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Заем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целевой заем, предоставленный Фондом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 субъектам деятельности в сфере промышленности.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Заемщик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российский субъект деятельности в сфере промышленности, заключивший с Фондом договор займа и получивший финансовое обеспечение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Залоговая стоимость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Залогодатель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заемщик или третье лицо, которому принадлежит имущество, предоставленное в качестве залога в обеспечение обязательств по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российский субъект деятельности в сфере промышленности, предоставивший документы в Фонд для участия в программах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Календарный план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перечень основных этапов работ (задач)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Квартальный отчет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отчетность, предоставляемая Заемщиком Фонду по окончании каждого квартала, в соответствии с условиями договора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Ключевой исполнитель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поставщик оборудования, подрядчик на выполнение работ (оказание услуг), на которого приходится выплата Заемщиком более чем 20% от суммы займа в ходе реализации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Контрольное мероприятие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мероприятие, включающее в себя выезд на территорию реализации проекта,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Критические замечания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существенными и не были учтены при его подготовке, но при этом не являющиеся безусловным препятствием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Фондом.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Менеджер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сотрудник Фонда, выполняющий функции взаимодействия с Заявителем по проекту, организации проведения экспертиз и вынесения проекта на рассмотрение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Направление целевого использования средств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перечень мероприятий, на реализацию которых могут быть направлены средства займа, в соответствии с требованиями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Независимая гарантия (гарантия)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Независимая экспертиза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экспертиза, проводимая по поручению Фонда сторонней по отношению к Заявителю и (или)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 и соответствующая требованиям, указанным в приложении № 8 к настоящему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Обеспечение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установленные законодательством Российской Федерации способы обеспечения исполнения обязательств Заемщика по договору займа, предоставленного Фондом в качестве финансового обеспечения проектов, и предусмотренные соответствующим договором с Заемщиком, включая залог, поручительство, независимую гарантию и другие виды.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Общий бюджет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сумма всех затрат по проекту (не включая проценты по договору займа между Заявителем и Фондом, а также по договорам по привлечению финансирования), в которую включаются планируемые инвестиции в проект в номинальных ценах (с учетом прогнозной инфляции соответствующих затрат) и инвестиции, осуществленные в проект не ранее 2 (двух) лет, предшествующих дате подачи Заявки (исходя из фактической величины понесенных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документально подтвержденных затрат), включая затраты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подготовку проекта 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предпроектные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работы (подготовка проектно-сметной документации, получение необходимых согласований и разрешений, проектно-изыскательские работы и т.д.);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проектные работы (строительные, монтажные, пуско-наладочные работы и т.д.);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капитальные вложения (приобретение зданий, сооружений и оборудования и т.д.);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подбор и обучение персонала;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инвестиции и оборотный капитал.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Оправдательные документы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Основные участники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проекту (например, патент, технологию или ноу-хау, земельный участок);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лизинговые компании; банки.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Поручитель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Последующий залог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являются самостоятельными кредиторами.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Проект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совокупность организационных, технических, финансовых, кадровых мероприятий, имеющих цель в установленные бюджет и сроки создание нового предприятия (производства) и (или) модернизацию как предприятия в целом, так и его одного или нескольких структурных подразделений (филиалов, цехов, производственных участков, отделов и т.д.) для внедрения новых технологий и (или) продукции. 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Смета проекта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расчет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Субъект деятельности в сфере промышленности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российское юридическое лицо (индивидуальный предприниматель), осуществляющее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Счет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банковский счет, открываемый Заемщиком для осуществления расчетов по проекту за счет средств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Техническое задание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основной документ проекта, определяющий порядок и условия работ по проекту, в том числе цель, задачи, принципы, ожидаемые результаты и сроки выполнения работ, порядок приемки работ.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Технологическое перевооружение и модернизация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комплекс мероприятий по повышению технологического и (или)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оборудования, более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производительным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Транш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часть суммы займа, которая перечисляется заемщику в соответствии с установленным графиком в рамках заключенного договора займа, при этом суммарный объем всех выданных траншей не может превышать общую сумму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Учредитель Фонда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</w:t>
      </w:r>
      <w:r>
        <w:rPr>
          <w:rFonts w:ascii="Times New Roman" w:hAnsi="Times New Roman"/>
          <w:sz w:val="26"/>
          <w:szCs w:val="26"/>
        </w:rPr>
        <w:t>Министерство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Экспертный совет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коллегиальный орган управления Фонда, к компетенции которого относится проведение экспертизы проектов в целях предоставления займов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проектов.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Условия и направления предоставления займов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2.1. Займы предоставляются на реализацию проектов, предусматривающих внедрение передовых технологий, создание новых продуктов или организацию импортозамещающих производств, технологическое перевооружение и модернизацию производств, в рамках приоритетных направлений промышленности в отраслях, указанных в приложении № 1 к </w:t>
      </w:r>
      <w:bookmarkStart w:id="2" w:name="_Hlk56683421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настоящему</w:t>
      </w:r>
      <w:bookmarkEnd w:id="2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Порядку.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2.2. Заем может быть направлен на реализацию следующих мероприятий: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разработка нового продукта (технологии), включая: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опытно-конструкторские и опытно-технологические работы;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технические, производственно-технологические, маркетинговые тестирования и испытания; 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проведение патентных исследований (на патентную чистоту, выявление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охраноспособных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решений и др.), патентование разработанных решений, в том числе зарубежное патентование; 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 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приобретение расходных материалов для проведения мероприятий, предусмотренных настоящим пунктом,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20% от суммы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разработка технико-экономического обоснования инвестиционной стадии проекта,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прединвестиционный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ISO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9000,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LEAN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пр.);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приобретение прав на результаты интеллектуальной деятельности (лицензий и патентов) у российских или иностранных правообладателей;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инжиниринг: 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строительство (реконструкция) или капитальный ремонт зданий, сооружений, коммуникаций для организации производства (при наличии положительного заключения государственной экспертизы на проектную документацию,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Республики, подведомственным Министерству строительства, архитектуры и жилищно-коммунального хозяйства Чувашской Республики и разрешения на строительство объекта);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приобретение в собственность (за исключением приобретения промышленного оборудования по договорам финансовой аренды и лизинга) российского и (или) импортного промышленного оборудования, а также его монтаж, наладка и иные мероприятия по его подготовке для серийного производства;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общехозяйственные расходы по проекту – затраты на выполнение функций управления и обслуживания подразделений, реализующих проект – в объеме не более 10 % от суммы займа: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командировочные и транспортные расходы проектной команды (стоимость проезда и проживания);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  <w:proofErr w:type="gramEnd"/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расходы на маркетинговое продвижение продукта;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2.3. Размер займа составляет от 25,0 млн. рублей до 500,0 млн. рублей.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2.4. Средства займа могут быть предоставлены траншами в соответствии с установленным графиком.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2.5. Срок займа составляет не более 5 (пяти) лет.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2.6. Общий бюджет проекта составляет не менее 50,0 млн. рублей.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2.7. Процентная ставка по займу составляет 3%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годовых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. По решению Экспертного совета процентная ставка может изменена.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 условии предоставления на всю сумму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региональных фондов содействия кредитованию МСП, соответствующих требованиям настоящего порядка, процентная ставка по займу может быть установлена на 2 (два) процентных пункта ниже, чем указана в настоящем пункте. 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Снижение процентной ставки на 2 (два) процентных пункта на ранее профинансированные проекты распространяется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и/или 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МСП, соответствующие требованиям настоящего порядка.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 этом случае указанная ставка применяется с момента замены обеспечения.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2.8. 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за счет средств Заявителя, привлеченных средств или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кр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едитных организаций должно составлять не менее 50% общего бюджета проекта.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 расчете объема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за счет средств Заявителя, привлеченных средств или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кр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едитных организаций: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могут быть учтены инвестиции, осуществленные в проект не ранее 2 (двух) лет, предшествующих дате подачи Заявки, при условии документального подтверждения понесенных затрат до вынесения проекта на рассмотрение Экспертного совета Фонда;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учитываются инвестиции, осуществляемые (осуществленные) за счет средств, выделяемых напрямую для поддержки проектов из соответствующего бюджета бюджетной системы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учитываются доходы в виде денежного потока, генерируемого проектом.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2.9. Не менее 15 % от суммы займа должно быть профинансировано за счет собственных средств Заявителя (и (или) аффилированных лиц, бенефициаров Заявителя) в следующий период: не ранее 2 (двух) лет до даты подачи Заявки и не позднее 6 (шести) месяцев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заключения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договора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2.10. 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 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2.11. 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юридической экспертизы и соответствия ключевого исполнителя требованиям, указанным в пункте 3.2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2.12. Заем может быть использован исключительно на цели проекта и расходоваться на оплату труда, приобретение товаров, выполнение работ, оказание услуг, а также на уплату связанных с ними налогов и иных обязательных платежей в бюджеты бюджетной системы Российской Федерации.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Средства Займа не могут быть направлены на реализацию следующих мероприятий: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приобретение сырья и ресурсов для выпуска промышленных партий продукции;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настоящим Порядком;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уплата процентов по заемным средствам, в том числе по Займу, предоставленному Фондом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проекта.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Требования к Заявителю и основным участникам проекта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3.1. Заявитель должен соответствовать следующим требованиям: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являться юридическим лицом – коммерческой организацией или индивидуальным предпринимателем, осуществляющим деятельность в сфере промышленности на территории Чувашской Республики, получение займов для которого не запрещено законодательством Российской Федерации или уставом Заявителя;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резидентом Российской Федерации в соответствии с законодательством Российской Федерации о валютном регулировании и валютном контроле;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прямого преобладающего участия в своем уставном капитале 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иностранные лица не должны иметь возможность определять решения, принимаемые таким обществом в соответствии с заключенным между ними договором;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раскрыть состав участников (акционеров), предоставить список аффилированных лиц и сведения о конечных бенефициарах на момент подачи заявки;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 должен находиться в процессе реорганизации (за исключением реорганизации в форме преобразования),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заявители-индивидуальные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предприниматели не должны прекратить деятельность в качестве индивидуального предпринимателя на момент подачи заявки и (или) получения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реестре дисквалифицированных лиц отсутствуют сведения о дисквалифицированным руководителе, членах коллегиального исполнительного органа, лице, исполняющем функции единоличного исполнительного органа или главного бухгалтера Заявителя, являющегося юридическим лицом, об индивидуальном предпринимателе - Заявителе.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3.2. Лицо, заявленное в проекте как ключевой исполнитель, должно соответствовать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следующим требованиям: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резидентом Российской Федерации или иностранным юридическим лицом, не зарегистрированным в низконалоговой юрисдикции;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в реестре дисквалифицированных лиц отсутствуют сведения о дисквалифицированным руководителе, членах коллегиального исполнительного органа, лице, исполняющем функции единоличного исполнительного органа или главного бухгалтера ключевого исполнителя, являющегося юридическим лицом, об индивидуальном предпринимателе - ключевом исполнителе.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3.3. Заявитель, его аффилированные лица, задействованные в реализации проекта как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основные участники, не должны иметь: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просроченную задолженность по налогам, сборам и иным обязательным платежам в бюджеты бюджетной системы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задолженность по заработной плате перед работниками;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просроченную задолженность перед Фондом;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зафиксированных фактов несвоевременного выполнения в прошлом обязательств перед Фондом, включая обязательств по возврату займа или по предоставлению отчетности о целевом использовании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Предоставление финансирования проектов Заявителям, входящим в одну Группу лиц с заемщиками, имеющими просроченную задолженность перед Фондом по займам, выданным за счет средств соответствующего бюджета бюджетной системы Российской Федерации, осуществляется по решению Наблюдательного совета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3.4.</w:t>
      </w:r>
      <w: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Идентификация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не проводится в отношении лиц, являющихся: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 (Указание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иностранных эмитентов к организованным торгам, а также условием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непроведения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иностранных организаций, чьи ценные бумаги прошли процедуру листинга на таких биржах» (или иные аналогичные указания);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3.5. 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между Заявителем и Фондом на дату подачи заявки действует договор (договоры) целевого займа,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Наблюдательный совет Фонда определяет предельный размер суммарной доли заимствований, предоставляемых из средств целевого финансирования Фонда заявителям, входящим в одну Группу лиц.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Представление заявки на получение займа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4.1. Заявитель, изъявивший желание получить Заем, представляет в Фонд заявочную документацию.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4.2. В зависимости от этапов прохождения заявки Заявителем представляются документы в соответствии с приложением № 4 к настоящему Порядку (далее – заявочная документация).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4.3. Документы в составе заявочной документации должны соответствовать следующим требованиям: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копии документов должны соответствовать оригинальным документам;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копии, предоставляемые на бумажном носителе, должны быть заверены уполномоченным должностным лицом Заявителя, прошиты и скреплены печатью (при наличии печати);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текст и изображения должны быть разборчивы, не содержать исправлений и дефектов, не позволяющих однозначно трактовать содержание документов.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4.4. Заявка подлежит регистрации с присвоением регистрационного номера и занесением в реестр проектов в течение 1 (одного) дня со дня представления Заявки.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Уведомление о принятии Заявки к рассмотрению и присвоенном регистрационном номере сообщается Заявителю в течение 2 (двух) дней со дня представления документов.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4.5. Документы, поданные в составе Заявки, Заявителю не возвращаются вне зависимости от результатов экспертизы.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4.6. 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4.7. 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между Заявителем и Фондом заключены договоры целевого займа по ранее одобренным проектам или такой договор находится в процессе заключения, то Заявка на предоставление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 новому проекту принимается Фондом к рассмотрению по истечении 2 (двух) отчетных периодов (кварталов) с даты заключения такого договора целевого займа при соблюдении условий, установленных в пункте 3.5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4.8. Сотрудникам Фонда запрещается корректировать за Заявителя состав и содержание комплекта документов в составе Заявки, параметры и документацию проекта.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4.9. Уполномоченное должностное лицо Фонда в течение 2 (двух) дней со дня регистрации Заявки направляет запросы в органы исполнительной власти Чувашской Республики, предоставляющие государственную поддержку по отраслевым направлениям, приведенным в приложении № 1 к настоящему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Порядку, в целях получения сведений о предоставленной поддержке в отношении проекта Заявителя.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Отбор и экспертиза проектов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5.1. Отбор проектов, представленных Заявителями, осуществляется по результатам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экспертизы проектов, включающей в себя следующие этапы: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экспресс-оценка Заявки;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входная экспертиза Заявки;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комплексная экспертиза Заявки.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5.1.1. На этапе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экспресс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Срок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может превышать 5 (пяти) дней.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 результатам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делается предварительный вывод о соответствии проекта основным условиям предоставления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и уполномоченное должностное лицо Фонда может принять одно из следующих решений: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1) направить Заявку на прохождение этапа входной экспертизы. В этом случае Заявителю направляется письмо с указанием перечня документов, необходимых для прохождения этапа входной экспертизы;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2) отклонить Заявку и направить Заявителю письмо с указанием несоответствия резюме проекта критериям и условиям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проектов, установленным настоящим Порядком.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Отклонение Заявки (резюме проекта) на этапе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лишает Заявителя возможности повторного обращения за получением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после устранения недостатков.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5.1.2. 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Для проведения входной экспертизы Заявитель представляет уполномоченному лицу Фонда документы в соответствии с приложением № 4 к настоящему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Входная экспертиза проводится уполномоченным лицом Фонда. Срок входной экспертизы 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Документы Заявки проверяются на предмет их комплектности и соответствия требованиям настоящего Порядка.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Каждый документ, представленный для прохождения входной экспертизы, согласовывается уполномоченным лицом Фонда на предмет его соответствия требованиям настоящего Порядка путем предоставления акцепта.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получения акцепта по всем документам, представленным для прохождения входной экспертизы, уполномоченное лицо Фонда направляет Заявителю уведомление о прохождении этапа входной экспертизы с указанием назначенного Менеджера проекта.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В случае отказа в акцептовании одного или нескольких документов, необходимых для проведения комплексной экспертизы, уполномоченное лицо Фонда сообщает Заявителю соответствующую информацию с указанием перечня таких документов. Проект направляется на доработку по результатам входной экспертизы и работы по нему приостанавливаются.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Работа по проекту прекращается в том случае, если Заявителем по представленной им Заявке не устранены недостатки, не представлены документы, не актуализировалась информация более 4 (четырех) месяцев.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5.1.3. Комплексная экспертиза проекта и документов, представленных Заявителем, проводится в целях определения возможности и условий предоставления Фондом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5.1.3.1. Сопровождает Заявку и организует комплексную экспертизу назначенный уполномоченным лицом Фонда Менеджер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5.1.3.2. Комплексная экспертиза проводится по следующим направлениям: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производственно-технологическая экспертиза;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научно-техническая экспертиза;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финансово-экономическая экспертиза;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правовая экспертиза.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1) Производственно-технологическая экспертиза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осуществляется по следующим параметрам: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бизнес-плане;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отсутствие критической зависимости проекта от импортного сырья или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комплектующих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проекта основной деятельности компании и ее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бизнес-стратегии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стратегическая важность проекта для компании, заинтересованность компании в его реализации;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материально-технической базы для выполнения разработки у Заявителя;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обоснованность графика и сроков мероприятий разработки нового продукта;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обоснованность бюджета на разработку нового продукта, включая обоснованность привлечения заявленных ключевых исполнителей;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необходимых для разработки компетенций, профессиональная репутация проектной команды Заявителя;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рынка для продукта и его положительная динамика развития;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сбыт выпускаемой продукции направлен на замещение импорта на внутреннем рынке, в том числе отнесение продукта к категории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импортозамещающих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согласно отраслевым планам, утверждаемым федеральным органом исполнительной власти, уполномоченным Правительством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сбыт выпускаемой продукции ориентирован на экспорт.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2) Научно-техническая экспертиза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осуществляется по следующим параметрам: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 xml:space="preserve">отнесение внедряемых новых технологий к приоритетным направлениям развития науки, технологий и техники в Российской Федерации, соответствие перечню критических технологий, утвержденному Указом Президента Российской Федерации от 07 июля 2011 г. № 899;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новизна технических решений относительно российского технического уровня;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отнесение получаемой в ходе реализации проекта продукции к промышленной продукции, не имеющей аналогов, производимых в Российской Федерации;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наличие у получаемой в ходе реализации проекта промышленной продукции потенциала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импортозамещения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техническая реализуемость проекта;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наличие научно-технического задела и подтверждение прав Заявителя на него.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Проведение научно-технической экспертизы организует Менеджер проекта с привлечением внешних экспертных и инжиниринговых организаций, центров кластерного развития, специалистов в области производства и экспертной деятельности.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Проведение производственно-технологической экспертизы организует либо осуществляет Менеджер проекта. Менеджер проекта вправе привлечь к участию в проведении производственно-технологической экспертизы внешние экспертные и инжиниринговые организации, центры кластерного развития, специалистов в области производства и экспертной деятельности.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С экспертами заключается соглашение о взаимодействии.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Менеджер проекта доводит до Заявителя полный перечень лиц, осуществляющих производственно-технологическую и научно-техническую экспертизу, их контакты и список документов, необходимых для проведения экспертизы.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Оплата производственно-технологической и научно-технической экспертизы осуществляется Заявителем за счет собственных средств.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Менеджер проекта в течение 3 (трех) дней с момента получения от Заявителя информационного письма о выборе экспертной организации и (или) заключении договора для осуществления научно-технической и производственно-технологической экспертизы формирует и направляет для экспертизы информационный пакет, включающий бизнес-план проекта, а также иные документы для изучения производственно-технологического и научно-технического содержания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По итогам производственно-технологической и научно-технической экспертизы формируется заключение, подписываемое лицом, проводившим экспертизу, и (или) руководителем экспертной организации и направляется в адрес Фонда Менеджеру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3) Финансово-экономическая экспертиза осуществляется по следующим параметрам: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обоснованность и достаточность планируемых финансовых ресурсов для реализации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со стороны третьих лиц;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сумма чистого дисконтированного денежного потока, генерируемого проектом (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net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present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value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NPV), положительна;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текущее и прогнозируемое на срок займа финансовое положение Заявителя устойчиво с точки зрения достаточности активов и денежных потоков.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Проведение финансово-экономической экспертизы осуществляет Менеджер проекта. Для рассмотрения отдельных вопросов Фондом могут привлекаться внешние экспертные и консультационные организации, эксперты – физические лица.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Проведение финансово-экономической экспертизы включает анализ бизнес-плана, календарного плана проекта, финансовой модели, обеспечения возврата средств Займа и бухгалтерской отчетности.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лица, предоставляющего Обеспечение.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При необходимости Менеджер проекта запрашивает дополнительные документы от Заявителя.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 итогам финансово-экономической экспертизы формируется заключение, подписываемое лицом, проводившим экспертизу и руководителем Фонда.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4) Правовая экспертиза осуществляется по следующим параметрам: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учредительных документов Заявителя, лиц, предоставивших обеспечение, законодательству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схемы предполагаемых сделок по проекту законодательству Российской Федерации,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бенефициарным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установление состава участников (акционеров) 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владельцев Заявителя, состава участников (акционеров) лиц, предоставивших обеспечение;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 (лиц, предоставивших обеспечение);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институтов развития и кредитных организаций, предоставивших гарантии (поручительства), а также третьих лиц, предоставивших в залог имущество);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Проведение правовой экспертизы организует Менеджер проекта и/или юрист Фонда. Для рассмотрения отдельных вопросов могут привлекаться внешние экспертные и консультационные организации, эксперты – физические лица.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По итогам правовой экспертизы формируется заключение, подписываемое лицом, проводившим экспертизу и руководителем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5.1.3.3.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Для проведения комплексной экспертизы Заявитель представляет Менеджеру проекта документы в соответствии с приложением № 4 к настоящему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5.1.3.4.</w:t>
      </w:r>
      <w:r>
        <w:t xml:space="preserve"> 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Общий срок проведения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комплексной экспертизы не должен превышать 40 (сорока) дней с момента принятия решения о назначении комплексной экспертизы.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5.1.3.5. Фонд вправе привлекать внешних экспертов за счет Заявителя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Персональные данные экспертов, рецензирующих поданные проекты, носят конфиденциальный характер и Заявителям, равно как и другим лицам, не сообщаются.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Внешние эксперты для проведения независимой экспертизы привлекаются в случае, если для проведения экспертизы необходимо осуществление исследований, испытаний, а также в случае, когда в отношении лиц, осуществляющих выполнение работ и оказание услуг, установлены обязательные требования (аккредитация, лицензирование, членство в саморегулируемых организациях).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5.1.3.6. Фонд имеет право запрашивать у Заявителя комментарии, пояснения, а также дополнительные документы, необходимые для проведения экспертизы по проекту.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предоставил в течение 30 (тридцати) дней запрошенные документы, Менеджер проекта вправе приостановить работу по проекту и прекратить комплексную экспертизу по проекту.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5.1.3.7.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Комплексная экспертиза может быть прекращена до ее полного завершения в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случае выявления любого из следующих обстоятельств: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несоответствие проекта критериям отбора проектов для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по какому-либо из параметров, определенным настоящим Порядком;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факт предоставления недостоверной информации.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 случае прекращения комплексной экспертизы по указанным основаниям Фонд вправе прекратить работу по проекту.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Уведомление о досрочном прекращении комплексной экспертизы направляется Заявителю в течение одного дня.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5.1.3.8. Повторная экспертиза проектов проводится Фондом в следующих случаях: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подача Заявителем запроса об изменении условий предоставления займа в целях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 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повторное обращение Заявителя за получением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по проекту в случаях, если ранее имело место приостановление работы по проекту.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5.1.3.9. Если работа по проекту была приостановлена на срок более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 xml:space="preserve">4 (четырех) месяцев в связи с направлением проекта на доработку по итогам комплексной экспертизы, и в этот период Заявителем не устранялись недостатки, выявленные Фондом, не представлялись документы по запросам Фонда, не актуализировалась информация, Фонд вправе прекратить работу по такому проекту.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5.1.3.10.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После окончания комплексной экспертизы Менеджер проекта,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Фондом и направляет их заявителю.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5.2.</w:t>
      </w:r>
      <w:r>
        <w:t> 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привлечения для реализации проекта ключевого исполнителя Фонд осуществляет оценку его соответствия следующим параметрам: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производственных активов и материально-технической базы у ключевого исполнителя;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выполняемых работ по проекту основной деятельности компании;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обоснованность общего бюджета проекта;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необходимых для разработки компетенций, профессиональная репутация ключевого исполнителя;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соответствие учредительных документов ключевого исполнителя действующему законодательству;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раскрытие состава участников (акционеров) в объеме контрольного пакета акций (долей) и предоставление информации о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</w:t>
      </w:r>
      <w:bookmarkStart w:id="3" w:name="_Hlk56608156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владельцах</w:t>
      </w:r>
      <w:bookmarkEnd w:id="3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ключевого исполнителя;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отсутствие процедуры банкротства, ликвидации ключевого исполнителя;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соответствие схемы предполагаемых сделок с Заявителем по проекту законодательству Российской Федерации,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бенефициарным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 Идентификация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не проводится в отношении лиц, являющихся: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50 % акций (долей) в капитале;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 в соответствии с Указанием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непроведения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иностранных организаций, чьи ценные бумаги прошли процедуру листинга на таких биржах», либо раскрывающими информацию о владельцах на общедоступных ресурсах на ином основании;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№ 108н, или иной аналогичный документ, действующий на дату проведения экспертизы.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избежании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двойного налогообложения.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. </w:t>
      </w:r>
      <w:bookmarkStart w:id="4" w:name="_Hlk17813682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Принятие решения о предоставлении займа</w:t>
      </w:r>
      <w:bookmarkEnd w:id="4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6.1. По итогам проведения всех направлений комплексной экспертизы проекта Менеджер проекта выносит проект и рекомендации по условиям участия Фонда в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на рассмотрение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6.2. Порядок созыва, проведения и принятия решений Экспертным советом регламентируется уставом Фонда и Положением об Экспертном совете.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6.3. Для рассмотрения проекта на Экспертном совете Менеджер проекта готовит презентацию, содержащую: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основную информацию по проекту, отражающую его производственно-технологическую составляющую, экономическую эффективность разрабатываемого продукта или технологии;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основные характеристики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заключения по итогам проведенных экспертиз;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схему участия Фонда в проекте.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Для подтверждения и конкретизации информации презентации Экспертному совету также представляются дополнительные документы: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бизнес-план;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резюме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техническое задание;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календарный план;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финансовая модель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результаты комплексной экспертизы;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бухгалтерская отчетность;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заявление об обеспечении;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отчет оценочной компании об определении оценочной (рыночной) стоимости залога в случаях, когда предоставление такой оценки предусмотрено настоящим Порядком;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письма поддержки.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6.4. Экспертный совет может принять решение: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об одобрении предоставления займа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об отказе в предоставлении займа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отложении принятия решения по проекту до получения дополнительной информации или устранения выявленных недостатков.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Решение оформляется протоколом заседания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6.5. Менеджер проекта направляет Заявителю выписку из протокола заседания Экспертного совета, содержащего принятое решение, в течение 3 (трех) дней после его подписания.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6.6. На основании утвержденного протокола заседания Экспертного совета, содержащего решение об одобрении предоставления займа для реализации проекта, Менеджер проекта направляет Заявителю письмо о положительном решении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с указанием параметров предоставляемого Займа: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цель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размер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предоставления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процентная ставка;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график использования и возврата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отлагательные условия предоставления займа, 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неустойки, штрафы, пени;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обеспечение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6.7. 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получения выписки из протокола, указанной в пункте 6.5 настоящего Порядка, а по сделкам, требующим корпоративного одобрения органами Заявителя – не позднее 3 (трех) месяцев.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работа по проекту приостанавливается.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5" w:name="_Hlk17813722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6.8. После подписания договора займа и иных договоров, обеспечивающих возврат займа, Фонд готовит платежный документ на перечисление денежных средств (в том числе транша) на расчетный счет Заемщика.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Заемщик обязуется осуществить действия по государственной регистрации и учету заложенного по Договору имущества в сроки, установленные договорами,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обеспечивающими исполнение обязательств по Договору (срок регистрации права залога недвижимого имущества - 30 (тридцать) рабочих дней с даты заключения договора ипотеки, срок регистрации в реестре уведомлений о залоге движимого имущества и предоставление Свидетельства и/или выписки из реестра уведомлений о залоге - в течение 30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(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тридцати) календарных дней с даты заключения договора залога). </w:t>
      </w:r>
      <w:proofErr w:type="gramEnd"/>
    </w:p>
    <w:bookmarkEnd w:id="5"/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6.9. Информация о проектах, получивших финансовую поддержку, размещается на официальном сайте Фонда в информационно-телекоммуникационной сети Интернет.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6.10. Вопросы реализации информационной политики, а также политики соблюдения конфиденциальности и раскрытия информации о проектах регулируются локальным актом Фонда, перечнем сведений ограниченного распространения, соглашениями о конфиденциальности.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 может быть отнесена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конфиденциальной следующая информация о проекте: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общий размер инвестиций в проект;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сумма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предоставляемого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количество и качество планируемых к созданию и созданных рабочих мест;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сумма ожидаемых налоговых поступлений в бюджеты бюджетной системы Российской Федерации;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информация о производимой в ходе реализации проекта продукции, указанная в заявочной документации и отчетности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6" w:name="_Hlk56608268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календарный план.</w:t>
      </w:r>
    </w:p>
    <w:bookmarkEnd w:id="6"/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6.11. В случае принятия Экспертным советом решения об отложении принятия решения по проекту до получения дополнительной информации (устранения выявленных недостатков), Заявитель вправе предоставить дополнительную информацию и (или) устранить выявленные недостатки, после чего проект может быть вынесен на Экспертный совет повторно.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непредоставления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Заявителем дополнительной информации (устранения выявленных недостатков в определенные Экспертным советом сроки), работа по проекту приостанавливается.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6.12. Приостановление работы по проекту не лишает Заявителя права на повторное обращение за получением займа на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данного проекта с проведением повторной комплексной экспертизы и повторным вынесением на рассмотрение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7" w:name="_Hlk56608285"/>
      <w:bookmarkStart w:id="8" w:name="_Hlk5660829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прекратить работу по проекту, в случае если работа по нему была приостановлена на срок более 4 (четырех) месяцев.</w:t>
      </w:r>
    </w:p>
    <w:bookmarkEnd w:id="7"/>
    <w:bookmarkEnd w:id="8"/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Инструменты финансирования и контроль расходования средств займа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7.1. 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со стороны Фонда осуществляется путем предоставления целевого займа на условиях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возмездности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возвратности.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7.2. Процентная ставка по предоставляемым целевым займам устанавливается в размере, указанном в пункте </w:t>
      </w:r>
      <w:bookmarkStart w:id="9" w:name="_Hlk56608360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2.7 </w:t>
      </w:r>
      <w:bookmarkEnd w:id="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7.3. 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 (далее – Счет). В случае если проектом предусмотрена закупка (поставка) импортного оборудования, сырья и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Платежи с указанных счетов осуществляются Заявителем только по согласованию с Фондом в порядке, установленном соответствующими договорами.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7.4. 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7.5. Заявитель вправе заключить с кредитной организацией, открывшей Счет,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7.6. Погашение основного долга по займу осуществляется Заявителем равными ежеквартальными платежами в течение последних двух лет срока займа.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по займу уплачиваются Заявителем ежеквартально, начиная с первого квартала после выдачи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7.7. 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– не позднее даты досрочного погашения.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7.8. Заявитель имеет право досрочно погасить заем полностью или частично в любой момент времени.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7.9. 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потребовать уплатить вместо процентов, указанных в пункте </w:t>
      </w:r>
      <w:bookmarkStart w:id="10" w:name="_Hlk56608398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2.7 </w:t>
      </w:r>
      <w:bookmarkEnd w:id="10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настоящего Порядка, проценты за пользование суммой займа (или его части, соответственно) в размере двукратной ключевой ставки Центрального банка Российской Федерации,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7.10. Заявитель несет ответственность за неисполнение или ненадлежащее исполнение предусмотренных договором обязательств, включая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следующие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за неисполнение или ненадлежащее исполнение обязательств по возврату основного долга и (или) уплате процентов за пользование займом - пени в размере 0,1% от несвоевременно уплаченной суммы за каждый день просрочки;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размере 0,001% от суммы Займа за каждый день просрочки;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в случае нарушения Заявителем предусмотренного договором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займа срока регистрации права залога/учета прав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на заложенное имущество (если иное предоставленное Заявителем основное обеспечение не соответствует требованиям достаточности) - пени в размере 0,001% от суммы Займа за каждый день просрочки.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7.11. Условиями предоставления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является согласие Заявителя: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представлять отчеты о ходе реализации проекта и достижении целевых показателей эффективности использования займа по формам, установленным Фондом;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обеспечить возможность контроля Фондом действий самого Заявителя и основных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участников проекта в ходе реализации проекта, целевого использования средств займа, состояния обеспечения и финансового состояния Заявителя, лиц, предоставивших обеспечение.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7.12. Контроль расходования средств займа осуществляется при согласовании (акцепте) Фондом платежей Заемщика со Счета.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7.13. Для получения акцепта Фонда Заемщик в соответствии с порядком документооборота, определенном договором займа, предоставляет в Фонд платежное поручение и оправдательные документы к нему.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7.14. 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 (исполнителя).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 (исполнителя)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7.15. Акцепт операции по расходованию средств займа производится Фондом после рассмотрения предоставленных Заемщиком документов в соответствии с пунктами 7.13 и 7.14 настоящего Порядка на предмет их соответствия действующему законодательству, настоящему Порядку и договору займа, в том числе смете проекта, календарному плану и, при необходимости, техническому заданию проекта. Фонд принимает решение об акцепте в течение 3 (трех) дней со дня предоставления Заемщиком полного комплекта подтверждающих документов. Порядок акцепта платежей Фондом регламентируется договором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7.16. Фонд вправе отказать в акцепте платежа в следующих случаях: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Заемщиком не соблюден порядок документооборота, не предоставлен полный комплект оправдательных документов и (или) не соблюдены требования к их оформлению, предусмотренные договором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характер операции по расходованию средств займа противоречит законодательству Российской Федерации и (или) настоящему Порядку;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операция по расходованию средств займа не соответствует смете проекта и (или) не предусмотрена соответствующим этапом календарного плана;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объект, закупку которого предполагается осуществить за счет средств займа, имеет излишние (необоснованные) потребительские характеристики с элементами роскоши;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не подтверждено рыночное ценообразование при осуществлении закупки и (или) обоснованность выбора поставщиков товаров (работ, услуг);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характер операции по расходованию средств займа не соответствует параметрам и характеристикам проекта, согласованным сторонами и приведенным в техническом задании и (или) в описывающих проект документах, представленных Заемщиком в Фонд на этапе рассмотрения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7.17. 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контрагента, а также для нарушения Заемщиком сроков реализации проекта и (или)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целевых показателей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7.18. В случае списания банком, в котором Заемщиком открыт Счет,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3 (трех) дней возместить на Счет </w:t>
      </w:r>
      <w:r>
        <w:rPr>
          <w:rFonts w:ascii="Times New Roman" w:eastAsia="SimSun" w:hAnsi="Times New Roman" w:cs="Mangal"/>
          <w:bCs/>
          <w:color w:val="000000"/>
          <w:kern w:val="2"/>
          <w:sz w:val="26"/>
          <w:szCs w:val="26"/>
          <w:lang w:eastAsia="hi-IN" w:bidi="hi-IN"/>
        </w:rPr>
        <w:t>списанные без акцепта Фонда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средства. Если средства в установленный срок не возмещены, Фонд имеет право приостановить акцепт операций по расходованию средств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7.19. Фонд также вправе приостановить акцепт операций по расходованию средств займа в случае нарушения Заемщиком обязанностей по договору займа (в том числе сроков уплаты процентов, предоставления отчетности и (или) запрошенных Фондом документов) до устранения допущенных нарушений.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7.20. Контроль использования средств займа осуществляется Фондом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 (оказания услуг), закупка которых осуществлена за счет средств займа, а также документальная проверка объема вложенных Заемщиком в проект средств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, предусмотренных договором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Виды используемого Фондом обеспечения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8.1. Обеспечение, принимаемое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оценивается на предмет достаточности и качества.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8.2. Качество обеспечения определяется Менеджером проекта вероятностью получения денежных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в 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азмере залоговой стоимости при обращении взыскания на предмет залога и (или) его реализации. При оценке качества обеспечения учитываются ликвидность обеспечения (определяется в зависимости от прогнозируемого срока реализации актива на свободном рынке по рыночной стоимости), отсутствие (наличие) обременений, состояние активов, их сохранность, значимость активов для бизнеса Заемщика (Залогодателя), возможность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залогом со стороны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8.3. По результатам произведенной Менеджером проекта оценки качества обеспечение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 проектам может быть отнесено к основному обеспечению или дополнительному обеспечению.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8.3.1. Основное обеспечение учитывается при оценке достаточности обеспечения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Фондом проектам.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Имущество, принимаемое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 в качестве Основного обеспечения – залога, должно относиться к одной из следующих категорий: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ликвидным активам: активы, на которые Фонд может обратить взыскание в приемлемые сроки (срок реализации составляет менее 365 календарных дней, а для обращающихся ценных бумаг – не более 20 дней);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значимым активам: профильные ключевые активы Заемщика (Залогодателя), изъятие которых приведет к прекращению его деятельности или деятельности независимых бизнес-единиц, приносящих доход; 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 непрофильные активы, являющиеся автономными структурными единицами, способными самостоятельно приносить доход;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Залогодателей-физических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лиц значимыми могут быть признаны активы в виде жилой недвижимости и автотранспорта.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Виды и требования к качеству Основного обеспечения, принимаемого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приведены в приложении № 5 к настоящему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(отсутствие)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8.3.2. Дополнительное обеспечение используется в целях усиления структуры сделки с точки зрения возможности реализации Основного обеспечения, влияния на бизнес Заемщиков, Залогодателей и поручителей, повышения ответственности и заинтересованности собственников и конечных бенефициаров в реализации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Виды Дополнительного обеспечения, принимаемого Фондом по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проектам, приведены в приложении № 6 к настоящему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8.4. 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8.5. При рассмотрении возможности принятия в качестве обеспечения имущества, учитываются запреты (ограничения) на совершение сделок залога с отдельными видами имущества.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Виды имущества, не принимаемого Фондом в качестве обеспечения, приведены в приложении № 7 к настоящему Порядку.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Фонд не принимает в качестве обеспечения в залог имущество, находящееся за пределами Российской Федерации.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8.6. Принимаемое в залог имущество не должно находиться под арестом и (или) обременением.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8.7. Последующий залог (имущество, обремененное залогом третьих лиц) допускается в качестве Дополнительного обеспечения.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Не допускается передача в последующий залог третьим лицам имущества, принятого Фондом в качестве Основного обеспечения, за исключением передачи в последующий залог имущества, принятого Фондом в качестве Основного обеспечения, если последующими залогодержателями выступают институты развития, осуществляющие совместно с Фондом финансирование проекта и/или предоставляющие обеспечение, указанные в приложении № 9 к настоящему Порядку.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8.8. На момент выдачи займа (принятия решения о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проекта) обеспечение признается достаточным, если залоговая стоимость и (или) объем гарантированных обязательств по независимой гарантии (поручительству), принимаемой в качестве Основного обеспечения, равна или превышает размер основного долга и подлежащих уплате за все время пользования займом процентов.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1" w:name="_Hlk1781374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8.8.1. 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принятия решения экспертным советом о выдаче займа траншами, обеспечение на каждом этапе выдачи транша признается достаточным, если залоговая стоимость и (или) объем гарантированных обязательств по независимой гарантии (поручительству), принимаемой в качестве Основного обеспечения, равна или превышает суммарный размер ранее выданных траншей и планируемого к выдаче транша в соответствии с установленным графиком, а также процентов, подлежащих уплате за все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время пользования данными траншами.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Размер одного транша не может быть меньше минимального размера займа, установленного пунктом 2.4 настоящего порядка.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Предоставление очередного транша в соответствии с установленным графиком осуществляется только после заключения договоров, обеспечивающих возврат займа. </w:t>
      </w:r>
    </w:p>
    <w:bookmarkEnd w:id="11"/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8.9. Залоговая стоимость определяется на основании оценочной (рыночной) стоимости с учетом требований п. 8.2 настоящего Порядка с применением шкалы залоговых дисконтов, приведенной в приложении № 5.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Оценочная (рыночная) стоимость залога определяется на основании отчетов оценочных компаний (без учета суммы НДС), за исключением котируемых ценных бумаг и драгоценных металлов, а также оборудования, приобретаемого в рамках проекта за счет средств, предоставляемых Фондом. Рыночная стоимость, определенная в отчете, принимается Фондом для целей совершения сделки в течение 6 (шести) месяцев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составления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отчета.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Оценочная стоимость предлагаемого в залог оборудования, приобретаемого в процессе реализации проекта и оплачиваемого полностью или частично за счет средств, предоставленных Фондом, определяется по цене, указанной в договоре на его приобретение (за вычетом суммы НДС).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Оценка обеспечения и его оформление осуществляются за счет Заемщика, включая расходы по нотариальному заверению, подтверждению подлинности гарантии, векселя, оплате услуг регистратора и т.п.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8.10. 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8.11. Решение о видах и объеме (изменении вида или объема) обеспечения, отнесении его к Основному и (или) Дополнительному по конкретным проектам, предлагаемым к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софинансированию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принимает Экспертный совет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8.12. В целях обеспечения возврата займа и снижения рисков невозврата займа Фонд в договорах займа устанавливает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которые могут быть типовыми и дополнительными.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8.12.1. 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применяются для всех Заемщиков.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качестве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-оснований для досрочного истребования от Заемщика полного или частичного погашения задолженности по займу, Фонд применяет следующие условия: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неисполнение или ненадлежащее исполнение Заемщиком обязательств перед Фондом по договору займа, в том числе несвоевременное или неполное исполнение 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неисполнение Заемщиком более 30 (тридцати) дней любого платежного обязательства по кредитным договорам либо договорам займа Заемщика с третьими лицами;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утрата или ухудшение обеспечения исполнения обязательств по договору или условий такого обеспечения (включая несоответствие требованию о достаточности), в случае, если Заемщик не предоставил иное обеспечение в сроки, установленные настоящим Порядком;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принятие в отношении Заемщика или лица, предоставившего обеспечение исполнения обязательств Заемщика по договору (поручителя, гаранта), а также лица, акции (доли) которого приняты в залог Фондом,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10% балансовой стоимости активов Заемщика на дату вступления решения суда первой инстанции в законную силу;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выявление Фондом факта предоставления Заемщиком недостоверной информации, заявлений или гарантий;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отмена, аннулирование, приостановление или иное ограничение в действии какого-либо разрешения или лицензии Заемщика и (или) лица (лиц), предоставившего обеспечение, которое препятствует должному исполнению или делает невозможным исполнение обязательств по возврату займа или реализации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изменение контроля над Заемщиком без согласования с Фондом.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8.12.2. 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- основания для досрочного истребования от Заемщика полного или частичного погашения задолженности по займу,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устанавливаются Фондом исходя из особенностей деятельности Заемщика 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софинансируемого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проекта, а также иных факторов.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Решение о составе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дополнительных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принимает Экспертный совет.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8.13. В сроки, определенные договором займа, Заемщик обязан информировать Фонд об обстоятельствах, имеющих существенное значение для оценки финансово-экономического состояния Заемщика / лица, предоставившего обеспечение по займу, и его способности исполнять обязательства по займу / предоставленному обеспечению: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том числе:</w:t>
      </w:r>
    </w:p>
    <w:p w:rsidR="00644A4E" w:rsidRDefault="00644A4E" w:rsidP="00644A4E">
      <w:pPr>
        <w:pStyle w:val="af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предъявление требований, помещенных в картотеку «Расчетные документы, не оплаченные в срок»;</w:t>
      </w:r>
    </w:p>
    <w:p w:rsidR="00644A4E" w:rsidRDefault="00644A4E" w:rsidP="00644A4E">
      <w:pPr>
        <w:pStyle w:val="af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приостановление операций по счету Заемщика;</w:t>
      </w:r>
    </w:p>
    <w:p w:rsidR="00644A4E" w:rsidRDefault="00644A4E" w:rsidP="00644A4E">
      <w:pPr>
        <w:pStyle w:val="af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наложение ареста на денежные средства на счете Заемщика;</w:t>
      </w:r>
    </w:p>
    <w:p w:rsidR="00644A4E" w:rsidRDefault="00644A4E" w:rsidP="00644A4E">
      <w:pPr>
        <w:pStyle w:val="af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обращение взыскания на денежные средства на счете Заемщика;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принятии в отношении Заемщика (лица, предоставившего обеспечение исполнения обязательств Заемщика по договору), уполномоченным органом такого лица или уполномоченным государственным (муниципальным) органом решения о ликвидации;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соблюдении условий, установленных в соответствии с приложением № 5 к настоящему Порядку и подтверждающих устойчивое финансовое положение лица, предоставившего обеспечение, или лица, акции (доли) или облигации которого предоставлены в обеспечение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неисполнении Заемщиком более 30 календарных дней любого платежного обязательства по кредитным договорам (договорам займа) Заемщика с третьими лицами;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обстоятельствах и условиях, указанных в решении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 В течение срока действия договора займа Фонд контролирует состояние обеспечения займа, исполнение соответствующих договоров залога, поручительства, гарантии и пр. в соответствии с настоящим Порядком.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8.14.1. В случае утраты/ухудшения обеспечения Заемщик обязан в течение 10 (десяти) календарных дней с момента такой утраты/ухудшения предложить иное обеспечение, удовлетворяющее требованиям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Под утратой/ухудшением обеспечения для целей настоящего Порядка понимается наступление следующих обстоятельств: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гибель (утрата) имущества, предоставленного в залог;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установленное по итогам ежегодного мониторинга снижение рыночной стоимости предмета залога (с учетом применяемых дисконтов) ниже размера текущей задолженности Заемщика;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несоответствие финансового положения юридического лица, предоставившего поручительство/гарантию, по итогам очередного финансового года требованиям, установленным для таких лиц в соответствии с настоящим Порядком;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отзыв лицензии на осуществление банковской деятельности у кредитной организации, предоставившей независимую гарантию, либо введение процедур оздоровления/банкротства;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прекращение биржевого обращения ценных бумаг, предоставленных в залог.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8.14.2. Фонд принимает предложенное Заемщиком взамен утраченного/ухудшившегося обеспечения новое обеспечение на основании проведенных Фондом экспертиз и оценки, при условии подтверждения его соответствия по заключению требованиям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замены обеспечения (заключения соответствующего договора) не может превышать 60 (шестидесяти) календарных дней с момента утраты/ухудшения обеспечения (без учета времени, необходимого для регистрации залога).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8.14.3. В случае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п. 8.9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8.14.4. В течение срока действия договора займа Заемщик вправе предложить Фонду иное обеспечение, соответствующее требованиям настоящего Порядка, с рассмотрением вопроса о замене обеспечения Экспертным советом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осуществляет экспертизу на соответствие предложенного Заявителем обеспечения возврата займа требованиям настоящего Порядка, предъявляемым к качеству и достаточности обеспечения.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IX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 Контроль за исполнением договора займа и обеспечением исполнения обязательств по возврату средств займа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 Фонд осуществляет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возвратностью средств займа с применением инструментов, предусмотренных договором займа, в качестве которых используется: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мониторинг Фондом операций по Счетам Заемщиков;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заранее данный акцепт Заемщика на списание Фондом денежных средств со Счета в случаях, предусмотренных договором займа;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предварительный акцепт Фондом любых операций Заемщика по расходованию денежных средств со Счета;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ежеквартальные документальные проверки исполнения Заемщиком сметы проекта на основе информации, предоставленной Заемщиком;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ежеквартальный мониторинг реализации проекта в соответствии с календарным планом и техническим заданием на основе информации, предоставленной Заемщиком;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проведение выездных контрольных мероприятий по месту реализации проекта;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ежеквартальный мониторинг финансового состояния Заемщика;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состояния обеспечения возврата займа, финансового состояния поручителей и залогодателей по займу;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соблюдением Заемщиком сроков перечисления процентов и платежей по погашению основного долга в соответствии с графиком, предусмотренным договором займа, применение штрафных санкций за нарушение платежной дисциплины.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9.1.1. Документы, предоставляемые в составе отчетности Заемщика, предусмотренной договором займа, должны быть прошиты, пронумерованы, подписаны уполномоченным лицом и скреплены печатью Заемщика.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Иная информация для осуществления контрольных процедур может предоставляться Заемщиками в Фонд в электронном виде. Заемщик несет ответственность за соответствие предоставленной в Фонд информации в электронном виде оригиналам первичных документов.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9.1.2. Договор займа должен содержать условия, предусматривающие обязательство Заемщика обеспечить возможность контроля использования средств займа и (или) реализации проекта, включая обязанность предоставить Фонду все необходимые первичные, бухгалтерские и отчетные документы, подтверждающие использование займа, и право Фонда направить своих специалистов по местонахождению Заемщика для осуществления проверки.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9.1.3. При обращении Заемщика Фонд может заключать с Заемщиком дополнительные соглашения к договору займа с целью внесения изменений в календарный план, техническое задание и смету проекта, а также договоры обеспечения, если такие изменения не противоречат основным условиям предоставления займа. Для оценки рисков изменений проекта Фонд может проводить дополнительные экспертизы, в том числе с привлечением независимых экспертов. В случае необходимости внесения изменений в проект, затрагивающих основные условия предоставления займа, вопрос выносится на рассмотрение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реализацией проекта осуществляется Фондом на протяжении всего срока предоставления займа на предмет его соответствия календарному плану и техническому заданию: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 основании ежеквартально представляемых отчетов, предусмотренных Договором займа (далее – квартальный отчет);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ходе контрольного мероприятия, проводимого на территории реализации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выполнения Заемщиком целевых показателей эффективности проекта, установленных договором займа, Фонд осуществляет на основании ежегодно предоставляемого Заемщиком отчета по форме, предусмотренной договором займа, и подтверждающих документов.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9.2.1. В квартальном отчете Заемщик предоставляет информацию о фактических результатах выполнения работ по проекту (с приложением подтверждающих документов), а в случае отклонений – пояснения о причинах допущенных отклонений и рисках проекта с указанием мер реагирования (способов управления Заемщиком изменениями и рисками проекта), а также сроков устранения нарушений.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9.2.2. 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проекта.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9.2.3. Завершение реализации проекта оформляется соответствующим актом, который подписывается Заемщиком и Фондом.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9.3. Фонд осуществляет регулярный мониторинг финансового состояния Заемщиков путем контроля наступления событий, перечисленных в договоре займа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).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устанавливаются в соответствии с п. 8.12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9.3.1. Договором займа предусматриваются права Фонда потребовать досрочного погашения займа в случаях нарушения Заемщиком установленных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9.3.2. Контроль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осуществляется Фондом на основании: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квартального отчета, в котором Заемщик предоставляет информацию об основных показателях финансово-хозяйственной деятельности и соблюдении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промежуточной (ежеквартальной) и годовой бухгалтерской (финансовой) отчетности, предоставляемой Заемщиком в соответствии с договором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 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обеспечения, мониторинга исполнения соответствующих договоров залога, поручительства, гарантии.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9.4.1. Для осуществления контроля состояния обеспечения Фонд использует права, оговоренные в договорах займа, залога, поручительства и гарантии, включая право истребования необходимых первичных, бухгалтерских и иных отчетных документов.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9.4.2. Фонд осуществляет регулярный мониторинг финансового состояния поручителей и залогодателей по займу на основе промежуточной (ежеквартальной) и годовой бухгалтерской (финансовой) отчетности, предоставляемой поручителями и залогодателями в соответствии с условиями заключенных с ними договоров.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9.4.3. Фонд осуществляет регулярный мониторинг достаточности обеспечения по займу – не реже одного раза в год проводит проверку залоговой стоимости предмета залога на соответствие (стоимость равна или превышает) размеру текущей задолженности Заемщика по уплате основного долга и процентов.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9.4.4. 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негативном изменении рыночной ситуации и (или) наличии иных обстоятельств, свидетельствующих о существенном ухудшении состояния обеспечения (снижения его потенциальной рыночной стоимости более чем на 25% и (или) ниже размера текущей задолженности Заемщика) Фонд проводит за счет собственных источников финансового обеспечения независимую рыночную оценку объектов залога (недвижимого имущества, ценных бумаг и др.).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поступлением процентов и возвратом средств займа осуществляется Фондом в течение всего срока действия договора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9.5.1. 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9.5.2. Фонд организует ежедневный мониторинг поступления средств от Заемщиков и при неполучении от Заемщика платежа в течение 3 (трех) дней по истечению установленной даты погашения реализует мероприятия в соответствии с п. 9.6 настоящего Порядка.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9.5.3. Фонд вправе предъявить Заемщику штрафные санкции, предусмотренные договором займа, если иное не предусмотрено решением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9.6. 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случаях нарушения Заемщиком графика платежей, календарного плана и (или) технического задания, нарушения установленных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, возникновении риска обесценения и (или) утраты обеспечения, выявления фактов нецелевого использования средств,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ситуации, а также реализует мероприятия, предусмотренные подпунктами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>9.6.1 -9.6.6 настоящего Порядка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9.6.1. При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непоступлении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платежей в погашение займа (процентов по займу) к указанному в договоре займа сроку Фонд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направляет Заемщику письмо с требованием погасить просроченную задолженность в установленные Фондом сроки.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Фонда, по результатам которого, с учетом текущего финансового положения Заемщика и имеющихся данных о его возможном изменении, состояния обеспечения, достигнутых результатов проекта принимается решение: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предоставлении отсрочки (но не более 30 (тридцати) дней от даты допущенного нарушения);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вынесении на Экспертный совет вопроса о реструктуризации займа (в том числе предоставлении отсрочки на срок, превышающий 30 (тридцать) дней от даты допущенного нарушения);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признании задолженности по займу срочной к взысканию и подаче иска в суд.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9.6.2. При выявлении Фондом отклонений хода проекта от календарного плана, технического задания, несущих риски нарушения сроков реализации и/или не достижения результатов проекта, а также невыполнении Заемщиком установленных договором займа целевых показателей эффективности выполняются следующие мероприятия: </w:t>
      </w:r>
    </w:p>
    <w:p w:rsidR="00644A4E" w:rsidRDefault="00644A4E" w:rsidP="00644A4E">
      <w:pPr>
        <w:pStyle w:val="af8"/>
        <w:numPr>
          <w:ilvl w:val="0"/>
          <w:numId w:val="3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Фонд запрашивает у Заемщика объяснения причин допущенных отклонений, оценку их влияния на ход реализации проекта с представлением плана/графика мероприятий по достижению результатов проекта/выполнению установленных целевых показателей эффективности; </w:t>
      </w:r>
    </w:p>
    <w:p w:rsidR="00644A4E" w:rsidRDefault="00644A4E" w:rsidP="00644A4E">
      <w:pPr>
        <w:pStyle w:val="af8"/>
        <w:numPr>
          <w:ilvl w:val="0"/>
          <w:numId w:val="3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анализа предоставленных объяснений Заемщика и оценки рисков нарушения сроков реализации и/или не достижения результатов проекта, а также материалы контрольного мероприятия (при наличии) не реже 1 раза в квартал рассматриваются Менеджером проекта; </w:t>
      </w:r>
    </w:p>
    <w:p w:rsidR="00644A4E" w:rsidRDefault="00644A4E" w:rsidP="00644A4E">
      <w:pPr>
        <w:pStyle w:val="af8"/>
        <w:numPr>
          <w:ilvl w:val="0"/>
          <w:numId w:val="3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риски нарушения сроков реализации и/или </w:t>
      </w:r>
      <w:proofErr w:type="gramStart"/>
      <w:r>
        <w:rPr>
          <w:sz w:val="26"/>
          <w:szCs w:val="26"/>
        </w:rPr>
        <w:t>не достижения</w:t>
      </w:r>
      <w:proofErr w:type="gramEnd"/>
      <w:r>
        <w:rPr>
          <w:sz w:val="26"/>
          <w:szCs w:val="26"/>
        </w:rPr>
        <w:t xml:space="preserve"> результатов проекта Менеджером проекта оцениваются как высокие, принимается решение вынести вопрос на рассмотрение Экспертного совета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9.6.3. При невыполнении Заемщиком установленных целевых показателей эффективности Фонд: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запрашивает у Заемщика объяснения о причинах невыполнения, а также план-график достижения установленных показателей;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контролирует выполнение указанного плана-графика.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Фонд не реже одного раза в год информирует Наблюдательный совет о выполнении Заемщиками установленных целевых показателей.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 xml:space="preserve">9.6.4. При нарушении Заемщиком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договором займа, Фонд: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запрашивает у Заемщика объяснения причин допущенных нарушений, а при наличии нарушений финансовых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– также план-график их устранения (при необходимости);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 результатам анализа предоставленных объяснений заемщика оценивает правовые и (или) финансовые риски последствий нарушения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и принимает решение: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если указанные риски оцениваются Фондом как высокие – о вынесении вопроса на рассмотрение Экспертного совета Фонда;</w:t>
      </w:r>
    </w:p>
    <w:p w:rsidR="00644A4E" w:rsidRDefault="00644A4E" w:rsidP="00644A4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иных случаях об урегулировании ситуации путем установления Заемщику сроков для устранения допущенных нарушений и (или) оформления дополнительного соглашения к договору займа (при необходимости) и осуществляет мониторинг устранения нарушений.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9.6.5. При возникновении риска обесценения и (или) утраты обеспечения возврата займа Фонд: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составляет совместно с Заемщиком соответствующий акт и взаимодействует с Заемщиком с целью выяснения причины обесценения и (или) утраты обеспечения и обсуждения вариантов нормализации ситуации;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предлагает Заемщику заменить обеспечение или предоставить дополнительное обеспечение возврата займа в оговоренные сроки;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отказа Заемщика предоставить обеспечение и (или) нарушении установленных сроков его предоставления выносит вопрос на рассмотрение Экспертного совета Фонда.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9.6.6. При выявлении фактов нецелевого использования средств Заемщиком: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Заемщику предлагается осуществить возврат на Счет израсходованных нецелевым образом средств в установленные Фондом сроки;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9.7. При выявлении обстоятельств, предоставляющих Фонду право досрочного взыскания или свидетельствующих о нецелевом использовании средств займа, неисполнении или ненадлежащем исполнении Заемщиком обязательств по возврату основного долга и (или) уплате процентов, Фонд вправе произвести списание денежных средств со Счета в соответствии с заранее данным Заемщиком акцептом на списание денежных средств со Счета.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9.8. 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ств пр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инимает решение по вопросу использования займа: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 изменении объема финансовой поддержки проектов, решение о финансировании которых было принято ранее;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досрочном возврате предоставленных денежных средств;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согласовании вида и объема обеспечения исполнения обязательств по возврату предоставленного финансирования;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реструктуризации задолженности, включая установление нового графика погашения займа и уплаты процентов, утверждение условий мировых соглашений.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Решение Экспертного совета может содержать как весь комплекс требований, предусмотренных договором займа (досрочный возврат займа, уплата повышенных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процентов за пользование займом, применение штрафных санкций), так и любое из них.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9.9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 Н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а основании решения Экспертного совета Фонд обеспечивает реализацию необходимых процедур.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 1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отраслевых направлений, в рамках которых возможно получение финансовой поддержки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на реализацию проектов</w:t>
      </w:r>
      <w:r>
        <w:t xml:space="preserve"> 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314"/>
      </w:tblGrid>
      <w:tr w:rsidR="00644A4E" w:rsidTr="00877CDB">
        <w:tc>
          <w:tcPr>
            <w:tcW w:w="125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класса ОКВЭД</w:t>
            </w:r>
          </w:p>
        </w:tc>
        <w:tc>
          <w:tcPr>
            <w:tcW w:w="831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9570" w:type="dxa"/>
            <w:gridSpan w:val="2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C «Обрабатывающие производства»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пищевых продуктов (в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ОКВЭД 10.89.1, 10.89.4, 10.89.7, 10.89.8, 10.86.61, 10.86.62, 10.86.63, 10.86.64, 10.86.69, 10.86.5) </w:t>
            </w:r>
            <w:proofErr w:type="gramEnd"/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текстильных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одежды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15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кожи и изделий из кожи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17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бумаги и бумажных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химических веществ и химических продуктов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21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22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резиновых и пластмассовых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23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Производство прочей неметаллической минеральной продукции, включая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производственную деятельность, относящуюся к производству изделий на минеральной основе, производство стекла и изделий из стекла (например, листового стекла, полого стекла, стекловолокна и др.), керамических изделий, напольных покрытий, кафеля, черепицы, цемента и штукатурки и т.д.,  производство отделочного камня и прочей минеральной продукции </w:t>
            </w: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(включая ОКВЭД 23.1, 23.2, 23.3, 23.4, 23.5, 23.6, 23.7, 23.9)</w:t>
            </w:r>
            <w:proofErr w:type="gramEnd"/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24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металлургическое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lastRenderedPageBreak/>
              <w:t>25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готовых металлических изделий, кроме машин и оборудования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26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компьютеров, электронных и оптических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27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электрического оборудования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28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машин и оборудования, не включенных в другие группировки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29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автотранспортных средств, прицепов и полуприцепов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30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прочих транспортных средств и оборудования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31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мебели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32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прочих готовых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33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Ремонт и монтаж машин и оборудования</w:t>
            </w:r>
          </w:p>
        </w:tc>
      </w:tr>
    </w:tbl>
    <w:p w:rsidR="00644A4E" w:rsidRDefault="00644A4E" w:rsidP="00644A4E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Перечень отраслевых направлений, в рамках которых не осуществляется финансовая поддержка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реализации проектов</w:t>
      </w:r>
      <w:r>
        <w:t xml:space="preserve"> 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314"/>
      </w:tblGrid>
      <w:tr w:rsidR="00644A4E" w:rsidTr="00877CDB">
        <w:tc>
          <w:tcPr>
            <w:tcW w:w="125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класса ОКВЭД</w:t>
            </w:r>
          </w:p>
        </w:tc>
        <w:tc>
          <w:tcPr>
            <w:tcW w:w="831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9570" w:type="dxa"/>
            <w:gridSpan w:val="2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C «Обрабатывающие производства»: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Производство пищевых продуктов (за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</w:t>
            </w:r>
            <w:proofErr w:type="gram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ОКВЭД 10.89.1, 10.89.4, 10.89.7, 10.89.8, 10.86.61, 10.86.62, 10.86.63, 10.86.64, 10.86.69, 10.86.5) </w:t>
            </w:r>
            <w:proofErr w:type="gramEnd"/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напитков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табачных изделий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Деятельность полиграфическая и копирование носителей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19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кокса и нефтепродуктов</w:t>
            </w:r>
          </w:p>
        </w:tc>
      </w:tr>
      <w:tr w:rsidR="00644A4E" w:rsidTr="00877CDB">
        <w:tc>
          <w:tcPr>
            <w:tcW w:w="125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24.46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ядерного топлива</w:t>
            </w:r>
          </w:p>
        </w:tc>
      </w:tr>
      <w:tr w:rsidR="00644A4E" w:rsidTr="00877CDB">
        <w:tc>
          <w:tcPr>
            <w:tcW w:w="9570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B «Добыча полезных ископаемых»</w:t>
            </w:r>
          </w:p>
        </w:tc>
      </w:tr>
      <w:tr w:rsidR="00644A4E" w:rsidTr="00877CDB">
        <w:tc>
          <w:tcPr>
            <w:tcW w:w="9570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44A4E" w:rsidTr="00877CDB">
        <w:tc>
          <w:tcPr>
            <w:tcW w:w="9570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644A4E" w:rsidRDefault="00644A4E" w:rsidP="00644A4E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br w:type="page"/>
      </w: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lastRenderedPageBreak/>
        <w:t>Приложение № 2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hAnsi="Times New Roman"/>
          <w:sz w:val="26"/>
          <w:szCs w:val="26"/>
        </w:rPr>
        <w:t>Министерства промышленности и энергетики Чувашской Республики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171"/>
      </w:tblGrid>
      <w:tr w:rsidR="00644A4E" w:rsidTr="00877CDB">
        <w:tc>
          <w:tcPr>
            <w:tcW w:w="5377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 xml:space="preserve">В автономное учреждение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</w:t>
            </w:r>
          </w:p>
        </w:tc>
      </w:tr>
      <w:tr w:rsidR="00644A4E" w:rsidTr="00877CDB">
        <w:tc>
          <w:tcPr>
            <w:tcW w:w="5377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644A4E" w:rsidTr="00877CDB">
        <w:tc>
          <w:tcPr>
            <w:tcW w:w="5377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от _____________________________________</w:t>
            </w:r>
          </w:p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  <w:t>наименование заявителя:</w:t>
            </w:r>
          </w:p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полное наименование юридического лица с указанием организационно-правовой формы.</w:t>
            </w:r>
          </w:p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Для ИП указать фамилию, имя, отчество (последнее при наличии) полностью.</w:t>
            </w:r>
          </w:p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Адрес регистрации:</w:t>
            </w:r>
          </w:p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Телефон:</w:t>
            </w:r>
          </w:p>
        </w:tc>
      </w:tr>
    </w:tbl>
    <w:p w:rsidR="00644A4E" w:rsidRDefault="00644A4E" w:rsidP="00644A4E">
      <w:pPr>
        <w:suppressAutoHyphens/>
        <w:spacing w:after="0" w:line="240" w:lineRule="auto"/>
        <w:ind w:right="277" w:firstLine="709"/>
        <w:jc w:val="center"/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right="277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  <w:bookmarkStart w:id="12" w:name="_Hlk13552957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Заявление о предоставлении займа.</w:t>
      </w:r>
    </w:p>
    <w:p w:rsidR="00644A4E" w:rsidRDefault="00644A4E" w:rsidP="00644A4E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Прошу предоставить заем для </w:t>
      </w:r>
      <w:proofErr w:type="spellStart"/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 проекта на следующих условиях: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747"/>
      </w:tblGrid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Цель и краткое описание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Общая стоимость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Сумма собственных вложений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Сумма запрашиваемого займа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Срок пользования займа (месяцев)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Процентная ставка за пользование займом, (% </w:t>
            </w:r>
            <w:proofErr w:type="gramStart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годовых</w:t>
            </w:r>
            <w:proofErr w:type="gramEnd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Порядок погашения основного долга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Предлагаемое обеспечение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Перечень прилагаемых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65"/>
        <w:gridCol w:w="2052"/>
        <w:gridCol w:w="364"/>
        <w:gridCol w:w="2463"/>
      </w:tblGrid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 ____________________20___года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ind w:left="5098" w:firstLine="56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644A4E" w:rsidRDefault="00644A4E" w:rsidP="00644A4E">
      <w:pPr>
        <w:suppressAutoHyphens/>
        <w:spacing w:after="0" w:line="240" w:lineRule="auto"/>
        <w:ind w:left="5098" w:firstLine="56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3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</w:t>
      </w:r>
      <w:r>
        <w:t xml:space="preserve"> 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Резюме проекта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Анкета юридического лица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98"/>
        <w:gridCol w:w="4646"/>
      </w:tblGrid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Полное наименование организации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Сокращенное наименование организации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ОГРН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ИНН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КПП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Дата государственной регистрации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Юридический адрес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Официальный веб-сайт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Официальная электронная почта (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e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)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Руководитель организации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469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Контактное лицо</w:t>
            </w:r>
          </w:p>
        </w:tc>
        <w:tc>
          <w:tcPr>
            <w:tcW w:w="46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2.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Полное наименование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3.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Требуемый объем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софинансирования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со стороны Фонда, тыс. руб.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4.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Сроки возврата займа, мес.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3" w:name="_Hlk56678345"/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5.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Отрасль промышленности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6.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Подотрасль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промышленности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bookmarkEnd w:id="13"/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7.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Аннотация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8.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Имеющийся результат по проекту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9.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Место реализации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10. </w:t>
      </w:r>
      <w:bookmarkStart w:id="14" w:name="_Hlk56678619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Ключевые исполнители проекта (поставщик оборудования, подрядчик на выполнение работ / оказание услуг, на которого приходится выплата более чем 20% от суммы займа в ходе реализации проекта)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948"/>
        <w:gridCol w:w="2261"/>
        <w:gridCol w:w="3242"/>
        <w:gridCol w:w="2119"/>
      </w:tblGrid>
      <w:tr w:rsidR="00644A4E" w:rsidTr="00877CDB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Ключевой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Тип ключевого исполнителя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Описание работ по проекту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Cs w:val="26"/>
                <w:lang w:eastAsia="hi-IN" w:bidi="hi-IN"/>
              </w:rPr>
              <w:t>Стоимость работ, тыс. руб.</w:t>
            </w:r>
          </w:p>
        </w:tc>
      </w:tr>
      <w:tr w:rsidR="00644A4E" w:rsidTr="00877CDB">
        <w:tc>
          <w:tcPr>
            <w:tcW w:w="1951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326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  <w:tc>
          <w:tcPr>
            <w:tcW w:w="212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bookmarkEnd w:id="14"/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11.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Включение проекта в отраслевые планы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импортозамещения</w:t>
      </w:r>
      <w:proofErr w:type="spellEnd"/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194"/>
        <w:gridCol w:w="4376"/>
      </w:tblGrid>
      <w:tr w:rsidR="00644A4E" w:rsidTr="00877CDB">
        <w:tc>
          <w:tcPr>
            <w:tcW w:w="5211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Отраслевой перечень, куда включена продукция</w:t>
            </w:r>
          </w:p>
        </w:tc>
        <w:tc>
          <w:tcPr>
            <w:tcW w:w="439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211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Шифр продукции</w:t>
            </w:r>
          </w:p>
        </w:tc>
        <w:tc>
          <w:tcPr>
            <w:tcW w:w="439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12.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Цели и показатели проекта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Период запуска серийного производства (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 даты получения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займа), мес.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Результат от реализации проекта в натуральном выражении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635"/>
        <w:gridCol w:w="848"/>
        <w:gridCol w:w="848"/>
        <w:gridCol w:w="848"/>
        <w:gridCol w:w="848"/>
        <w:gridCol w:w="848"/>
        <w:gridCol w:w="846"/>
        <w:gridCol w:w="849"/>
      </w:tblGrid>
      <w:tr w:rsidR="00644A4E" w:rsidTr="00877CDB">
        <w:trPr>
          <w:tblHeader/>
        </w:trPr>
        <w:tc>
          <w:tcPr>
            <w:tcW w:w="363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показателя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644A4E" w:rsidTr="00877CDB">
        <w:tc>
          <w:tcPr>
            <w:tcW w:w="36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выручки, обеспеченной за счет реализации проекта, тыс. руб.</w:t>
            </w: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6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налоговых поступлений в бюджеты бюджетной системы Российской Федерации, обеспечиваемый за счет реализации проекта, тыс. руб.</w:t>
            </w: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6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Количество рабочих мест, создаваемых Заемщиком в ходе реализации проекта, шт.</w:t>
            </w: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6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привлеченных сре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дств дл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я реализации проекта дополнительно к сумме предоставленного займа, тыс. руб.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*</w:t>
            </w: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6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Доля выручки, получаемой от экспорта выпускаемой продукции, %</w:t>
            </w: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13.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Сбыт продукции проекта, обеспечивающий выход на целевой объем продаж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Продукция ориентирована на экспорт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да/нет</w:t>
            </w: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Страны, куда планируется экспорт продукции: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44A4E" w:rsidTr="00877CDB">
        <w:tc>
          <w:tcPr>
            <w:tcW w:w="95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lastRenderedPageBreak/>
        <w:t>14.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Бюджет проекта</w:t>
      </w:r>
    </w:p>
    <w:tbl>
      <w:tblPr>
        <w:tblStyle w:val="af7"/>
        <w:tblW w:w="499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836"/>
        <w:gridCol w:w="709"/>
        <w:gridCol w:w="752"/>
        <w:gridCol w:w="749"/>
        <w:gridCol w:w="903"/>
        <w:gridCol w:w="617"/>
        <w:gridCol w:w="752"/>
        <w:gridCol w:w="620"/>
        <w:gridCol w:w="752"/>
        <w:gridCol w:w="664"/>
        <w:gridCol w:w="752"/>
      </w:tblGrid>
      <w:tr w:rsidR="00644A4E" w:rsidTr="00877CDB">
        <w:trPr>
          <w:tblHeader/>
        </w:trPr>
        <w:tc>
          <w:tcPr>
            <w:tcW w:w="349" w:type="dxa"/>
            <w:vMerge w:val="restart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/п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Направления целевого использования средств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 ФОТ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644A4E" w:rsidTr="00877CDB">
        <w:trPr>
          <w:tblHeader/>
        </w:trPr>
        <w:tc>
          <w:tcPr>
            <w:tcW w:w="349" w:type="dxa"/>
            <w:vMerge/>
            <w:shd w:val="clear" w:color="auto" w:fill="auto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2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Разработка нового продукта (технологии):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2.1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Проведение ОТР и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ОКР</w:t>
            </w:r>
            <w:proofErr w:type="gramEnd"/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2.2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Технические, производственно-технологические, маркетинговые тестирования и испытания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2.3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охраноспособных</w:t>
            </w:r>
            <w:proofErr w:type="spellEnd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 решений и др.),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2.4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Сертификация, клинические испытания и </w:t>
            </w:r>
            <w:proofErr w:type="gramStart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другие</w:t>
            </w:r>
            <w:proofErr w:type="gramEnd"/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 xml:space="preserve"> обязательные для вывода на рынок контрольно-сертификационные процедуры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2.5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3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4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прединвестиционный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анализ и оптимизация проекта, исключая аналитические исследования рынка. Сертификация и внедрение новых методов эффективной организации производства (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val="en-US" w:eastAsia="hi-IN" w:bidi="hi-IN"/>
              </w:rPr>
              <w:t>ISO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9000, 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val="en-US" w:eastAsia="hi-IN" w:bidi="hi-IN"/>
              </w:rPr>
              <w:t>LEAN</w:t>
            </w: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 xml:space="preserve"> и пр.)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5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6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Инжиниринг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6.1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6.2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Проектно-изыскательские работы, сбор исходных данных, разработка концепции строительства (ремонта) зданий, сооружений, коммуникаций для организации производства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6.3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Разработка проектной документации для объектов капитального строительства включительно до стадии «Проектная документация»,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7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Государственная экспертиза проектной документации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8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9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в собственность российского и/или импортного промышленного оборудования, а также его монтаж, наладка и иные мероприятия по его подготовке для серийного производства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10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Общехозяйственные расходы, связанные с выполнением работ по проекту</w:t>
            </w:r>
          </w:p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lastRenderedPageBreak/>
              <w:t>11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12</w:t>
            </w: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Прочие капитальные вложения в проект: приобретение зданий, сооружений, земельных участков, иные вложения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  <w:t>Х</w:t>
            </w: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3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183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  <w:tc>
          <w:tcPr>
            <w:tcW w:w="70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9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03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4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52" w:type="dxa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том числе распределение по годам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vertAlign w:val="superscript"/>
          <w:lang w:eastAsia="hi-IN" w:bidi="hi-IN"/>
        </w:rPr>
        <w:t>*</w:t>
      </w:r>
    </w:p>
    <w:tbl>
      <w:tblPr>
        <w:tblStyle w:val="af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6"/>
        <w:gridCol w:w="878"/>
        <w:gridCol w:w="776"/>
        <w:gridCol w:w="773"/>
        <w:gridCol w:w="932"/>
        <w:gridCol w:w="737"/>
        <w:gridCol w:w="776"/>
        <w:gridCol w:w="834"/>
        <w:gridCol w:w="776"/>
        <w:gridCol w:w="834"/>
        <w:gridCol w:w="776"/>
      </w:tblGrid>
      <w:tr w:rsidR="00644A4E" w:rsidTr="00877CDB">
        <w:trPr>
          <w:tblHeader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Год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 ФОТ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644A4E" w:rsidTr="00877CDB">
        <w:trPr>
          <w:tblHeader/>
        </w:trPr>
        <w:tc>
          <w:tcPr>
            <w:tcW w:w="1376" w:type="dxa"/>
            <w:vMerge/>
            <w:shd w:val="clear" w:color="auto" w:fill="auto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644A4E" w:rsidTr="00877CDB">
        <w:tc>
          <w:tcPr>
            <w:tcW w:w="1376" w:type="dxa"/>
            <w:vAlign w:val="center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7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7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34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6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Заемщиком по столбцу «Средства </w:t>
      </w:r>
      <w:proofErr w:type="spellStart"/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>софинанс</w:t>
      </w:r>
      <w:proofErr w:type="spellEnd"/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>-я»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15.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Источники финансирования проекта, включая стадию серийного промышленного производства</w:t>
      </w: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1935"/>
        <w:gridCol w:w="1935"/>
        <w:gridCol w:w="1613"/>
        <w:gridCol w:w="1255"/>
      </w:tblGrid>
      <w:tr w:rsidR="00644A4E" w:rsidTr="00877CDB">
        <w:tc>
          <w:tcPr>
            <w:tcW w:w="2832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Форма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Источник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Страна источника финансирования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Год получения (факт или плановый)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Сумма, тыс. руб.</w:t>
            </w:r>
          </w:p>
        </w:tc>
      </w:tr>
      <w:tr w:rsidR="00644A4E" w:rsidTr="00877CDB">
        <w:tc>
          <w:tcPr>
            <w:tcW w:w="9570" w:type="dxa"/>
            <w:gridSpan w:val="5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Уже произведенные расходы по проекту, из них:</w:t>
            </w: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9570" w:type="dxa"/>
            <w:gridSpan w:val="5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Планируемые расходы до конца проекта, из них:</w:t>
            </w: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2832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Фонда</w:t>
            </w: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16.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Предполагаемое обеспечение по возврату займа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основного обеспечения, принимаемого Фондом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644A4E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дополнительного обеспечения, принимаемого Фондом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644A4E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644A4E" w:rsidTr="00877CDB">
        <w:tc>
          <w:tcPr>
            <w:tcW w:w="5070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644A4E" w:rsidRDefault="00644A4E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644A4E" w:rsidRDefault="00644A4E" w:rsidP="00644A4E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65"/>
        <w:gridCol w:w="2052"/>
        <w:gridCol w:w="364"/>
        <w:gridCol w:w="2463"/>
      </w:tblGrid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«____»____________________20___года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44A4E" w:rsidTr="00877CDB">
        <w:tc>
          <w:tcPr>
            <w:tcW w:w="4426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644A4E" w:rsidRDefault="00644A4E" w:rsidP="00644A4E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4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документов, представляемых Заявителем 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разных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этапах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прохождения заявки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Для целей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Заявитель направляет на рассмотрение в Фонд: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 заявление о предоставлении займа по форме согласно приложению № 2 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(далее – Порядок);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 резюме проекта по форме согласно приложению № 3 к Порядку.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Документы, предоставляемые Заявителем на последующих этапах рассмотрения проекта в Фонде, приведены в следующей таблице.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5" w:name="_Hlk56686453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Формат электронных документов (кроме расчетной финансовой модели) – PDF. Все листы одного документа в одном файле. В одном файле один документ. Предоставление нескольких документов в одном файле не допускается. Название файла формируется по шаблону: &lt;название организации&gt; – &lt;вид документа&gt;</w:t>
      </w:r>
    </w:p>
    <w:bookmarkEnd w:id="15"/>
    <w:p w:rsidR="00644A4E" w:rsidRDefault="00644A4E" w:rsidP="00644A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(к) – электронная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</w:t>
      </w:r>
      <w:proofErr w:type="spellStart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зк</w:t>
      </w:r>
      <w:proofErr w:type="spellEnd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) – заверенная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(о) – оригинал документа</w:t>
      </w:r>
    </w:p>
    <w:p w:rsidR="00644A4E" w:rsidRDefault="00644A4E" w:rsidP="00644A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</w:pPr>
      <w:bookmarkStart w:id="16" w:name="_Hlk5669057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480"/>
        <w:gridCol w:w="1387"/>
        <w:gridCol w:w="1425"/>
        <w:gridCol w:w="1324"/>
      </w:tblGrid>
      <w:tr w:rsidR="00644A4E" w:rsidTr="00877CDB">
        <w:trPr>
          <w:tblHeader/>
        </w:trPr>
        <w:tc>
          <w:tcPr>
            <w:tcW w:w="3740" w:type="dxa"/>
            <w:vMerge w:val="restart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документа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Этап, на котором запрашивается документ</w:t>
            </w:r>
          </w:p>
        </w:tc>
      </w:tr>
      <w:tr w:rsidR="00644A4E" w:rsidTr="00877CDB">
        <w:trPr>
          <w:tblHeader/>
        </w:trPr>
        <w:tc>
          <w:tcPr>
            <w:tcW w:w="3740" w:type="dxa"/>
            <w:vMerge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документов к Входной экспертизе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Комплексная экспертиза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к Экспертному совету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Подписание договоров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1. Документы проекта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</w:t>
            </w:r>
            <w:proofErr w:type="gramEnd"/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Бизнес-план проекта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Техническое задание по проекту (в случае разработки нового продукта)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Календарный план проекта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Финансовая модель</w:t>
            </w:r>
            <w:proofErr w:type="gram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Информационная справка в произвольной форме о получении по проекту средств из бюджетной системы РФ, а также от институтов развития с указанием инструмента поддержки (субсидия и т.п.), направлений расходования средств и фактической суммы использования на дату составления справки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Детализированный перечень ранее 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понесенных затрат, включаемых в расчет объема </w:t>
            </w:r>
            <w:proofErr w:type="spell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со стороны Заявителя, частных инвесторов или за счет банковских кредитов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Основные условия предоставления займа (с/без Протоколо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м(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-а) разногласий)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Резюме проекта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</w:tcPr>
          <w:p w:rsidR="00644A4E" w:rsidRDefault="00644A4E" w:rsidP="00877CDB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В случае использования средств займа на строительство или капитальный ремонт зданий, сооружений, коммуникаций для организации производства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Сводный сметный расчет строительства и (или) капитального ремонта объекта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Положительное заключение государственной экспертизы на проектную документацию,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Республики, подведомственным Министерству строительства, архитектуры и жилищно-коммунального хозяйства Чувашской Республики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Разрешение на строительство объекта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Договоры на выполнение строительных работ и (или) реконструкцию объектов (при наличии) </w:t>
            </w:r>
          </w:p>
        </w:tc>
        <w:tc>
          <w:tcPr>
            <w:tcW w:w="1480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в действующей редакции –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Расчёт величины чистых активов на последнюю отчетную дату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 xml:space="preserve"> 7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. по кредитам и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Информационная справка об аффилированных лицах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Консолидированная финансовая отчётность Группы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аудированная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по МСФО или управленческая – за последний завершившийся финансовый год и завершившийся отчетный период текущего года (при наличии)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 подписания договора займа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Заявителя как субъекта кредитной истории на раскрытие информации, содержащейся в кредитной истории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9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 </w:t>
            </w:r>
          </w:p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Информационное письмо с указанием реквизитов расчетного счета в банке, открытого для обособленного учета средств по займу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Дополнительное соглашение к договору банковского счета Заявителя, предоставляющее Фонду право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безакцептного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списания средств со специального счета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Комплект документов, необходимый для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предоставления Фонду права акцептования платежей по счету Заявителя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3. Документы, подтверждающие правовой статус, финансовое состояние ключевых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10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Исполнителе в проекте (об объеме и стоимости работ Исполнителя в проекте с обоснованием компетенций Исполнителя, описанием причин выбора данного Исполнителя для выполнения работ в проекте, объема работ в проекте, компетенций и референций Исполнителя по аналогичным работам, с указанием ОГРН, ИНН)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Для нерезидентов РФ – выписка из реестра юридических лиц, выданная уполномоченным органом не ранее 3 месяцев на дату предоставления в Фонд)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(для резидентов РФ)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последний завершившийся финансовый год, а также за последний отчетный период текущего года, 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 (для нерезидентов РФ – 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Договор с Исполнителем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Лицензии на право осуществления видов деятельности (если деятельность, согласно законодательству, подлежит обязательному лицензированию)</w:t>
            </w:r>
          </w:p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Исполнителя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Письменное заверение Заявителя о соответствии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бенефициарным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владельцам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 Обеспечение по проекту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4.1. При предоставлении банковской гарантии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Комфортное письмо Банка о готовности рассмотреть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вопрос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о предоставлении гарантии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Документ, подтверждающий полномочия лица, подписавшего банковскую гарантию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4.2. При предоставлении Гарантий/Поручительств юридических лиц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12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Расчёт величины чистых активов на последнюю отчетную дату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7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. по кредитам и 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поручителя как субъекта кредитной истории на раскрытие информации, содержащейся в кредитной истории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Поручителя как субъекта кредитной истории на раскрытие информации, содержащейся в кредитной истории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9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Документы об одобрении сделки поручительства/гарантии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4.3. При предоставлении Гарантий/Поручительств физических лиц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Нотариально заверенное согласие супруг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супруга) Гаранта/Поручителя (при наличии зарегистрированного брака), или брачный договор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Согласие на обработку персональных данных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4.4. При предоставлении обеспечения в виде залога в отношении Залогодателей – юридических лиц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Бухгалтерская справка о балансовой стоимости имущества, передаваемого в залог, на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последнюю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отчетную дату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Расшифровка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забалансовых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обязательств, а также информация по залогам с указанием залогового имущества, залоговой стоимости и сроков договоров залога или справка об отсутствии таковых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 об одобрении сделки залога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Заверение Залогодателя (третьего лица)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о принадлежности на праве собственности движимого имущества, передаваемого в залог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4.5. При предоставлении обеспечения в виде залога в отношении Залогодателей – физических лиц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Нотариально заверенное согласие супруг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супруга) Залогодателя (при наличии зарегистрированного брака), и нотариально заверенная копия брачного договора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Заверение Залогодателя о принадлежности на праве собственности движимого имущества, передаваемого в залог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Согласие на обработку персональных данных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 Документы, предоставляемые в отношении залогового имущества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с указанием перечня залогового имущества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rPr>
          <w:trHeight w:val="64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4.6.1. Документы, предоставляемые в отношении недвижимого имущества, передаваемого в залог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Документы, подтверждающие права на земельный участок под объектом недвижимости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Выписка из ЕГРН об основных характеристиках и зарегистрированных правах на дату не ранее 30 календарных дней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4.6.2. Документы, предоставляемые в отношении автотранспортного средства/спецтехники и самоходных механизмов, передаваемых в залог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 транспортного средства / самоходной машины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Свидетельство о регистрации ТС / самоходной машины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документы:</w:t>
            </w:r>
          </w:p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- договоры на приобретение имущества;</w:t>
            </w:r>
          </w:p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- документы на передачу имущества приобретателю или документы, устанавливающие факт перехода права собственности в соответствии с законом и/или договором.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4.6.3. Документы, предоставляемые в отношении технологического оборудования, передаваемого в залог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4.6.4. Документы, предоставляемые в отношении государственных облигаций, облигаций или акций юридических лиц – третьих лиц, имеющих биржевое обращение, включенных в котировальный список ПАО «Московская биржа» 1 уровня, передаваемых в залог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4.6.5 Документы, предоставляемые в отношении акций действующих юридических лиц – третьих лиц (в объеме не менее 25%), не имеющих биржевого обращения, а также долей участия в уставном капитале действующих юридических лиц – третьих лиц (в объеме не менее 25%), передаваемых в залог</w:t>
            </w:r>
            <w:proofErr w:type="gramEnd"/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Отчет об оценке акций, передаваемых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Бухгалтерская отчетность за два последних года, а также за все завершившиеся отчетные периоды текущего года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6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(если залогодатель и организация, доля в уставном капитале которой передается в залог / эмитент разные лица)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44A4E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5. Документы, подтверждающие полномочия лиц, подписывающих договоры по доверенности или заверяющих копии документов</w:t>
            </w:r>
          </w:p>
        </w:tc>
      </w:tr>
      <w:tr w:rsidR="00644A4E" w:rsidTr="00877CDB">
        <w:tc>
          <w:tcPr>
            <w:tcW w:w="374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Оформленные в соответствии с законодательством документы, подтверждающие полномочия лиц, подписывающих договоры по доверенности или заверяющих копии документов.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644A4E" w:rsidRDefault="00644A4E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___________________________________________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 Документы проекта (если не указано иное) должны быть подготовлены Заявителем в соответствии с требованиями настоящего Порядка и по формам, установленным Фондом и размещенным на его сайте.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Заявитель до подписания договора займа передает в Фонд оригинал подписанного раздела «Выводы» финансовой модели.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 Перечень составляется на бланке Заявителя по форме Фонда, заверяется подписью уполномоченного лица и печатью. К перечню Заявитель прикладывает документы, подтверждающие приведенные в нем расходы. В качестве документов, подтверждающих ранее понесенные затраты, прилагаются договоры, платежные документы и иные документы, подтверждающие факт понесенных расходов и отнесение их к проекту.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 Фонд формирует и направляет Заявителю Основные условия предоставления займа, которые определяют существенные условия договора займа. Окончательное решение по условиям договора займа принимает Экспертный совет.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справке указывается следующая информация о </w:t>
      </w:r>
      <w:proofErr w:type="spellStart"/>
      <w:r>
        <w:rPr>
          <w:rFonts w:ascii="Times New Roman" w:hAnsi="Times New Roman"/>
          <w:sz w:val="20"/>
        </w:rPr>
        <w:t>бенефициарном</w:t>
      </w:r>
      <w:proofErr w:type="spellEnd"/>
      <w:r>
        <w:rPr>
          <w:rFonts w:ascii="Times New Roman" w:hAnsi="Times New Roman"/>
          <w:sz w:val="20"/>
        </w:rPr>
        <w:t xml:space="preserve"> владельце (</w:t>
      </w:r>
      <w:proofErr w:type="spellStart"/>
      <w:r>
        <w:rPr>
          <w:rFonts w:ascii="Times New Roman" w:hAnsi="Times New Roman"/>
          <w:sz w:val="20"/>
        </w:rPr>
        <w:t>бенефициарных</w:t>
      </w:r>
      <w:proofErr w:type="spellEnd"/>
      <w:r>
        <w:rPr>
          <w:rFonts w:ascii="Times New Roman" w:hAnsi="Times New Roman"/>
          <w:sz w:val="20"/>
        </w:rPr>
        <w:t xml:space="preserve"> владельцах): фамилия, имя, отчество, доля владения, гражданство, место жительства (страна постоянного пребывания).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> Состав форм годовой отчетности определяется в соответствии со статьей 14 Федерального закона от 06.12.2011 №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</w:t>
      </w:r>
      <w:proofErr w:type="gramStart"/>
      <w:r>
        <w:rPr>
          <w:rFonts w:ascii="Times New Roman" w:hAnsi="Times New Roman"/>
          <w:sz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</w:rPr>
        <w:t>ия</w:t>
      </w:r>
      <w:proofErr w:type="spellEnd"/>
      <w:r>
        <w:rPr>
          <w:rFonts w:ascii="Times New Roman" w:hAnsi="Times New Roman"/>
          <w:sz w:val="20"/>
        </w:rPr>
        <w:t>) о бухгалтерской отчетности за два последних года, в случае если Заявитель согласно действующему законодательству подлежит обязательному аудиту, а также при наличии такового. Отчётность Заявителя за все отчетные периоды должна включать общую сумму амортизации, начисленную за отчётный период. Отчётность Заявителя на последнюю отчетную дату должна содержать расшифровки: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случае, если доля кредиторской и (или) дебиторской задолженности составляет более 10% валюты баланса – расшифровка такой задолженности с указанием наименований крупнейших (более 20% суммы задолженности) кредиторов (должников), суммы задолженности и даты образования;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просроченной (свыше 3 месяцев) кредиторской и (или) дебиторской задолженности с указанием кредиторов (должников), а также общей суммы просроченной дебиторской и (или) кредиторской задолженности (или справка об отсутствии таковой задолженности);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 (контрагентов) и сумм вложений;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выручки в разрезе крупнейших (не менее 10% выручки) покупателей и видов продукции (с указанием выручки и долей по данным покупателям (видам продукции));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займов и кредитов (включая облигационные и вексельные) с указанием кредиторов, цели предоставления заемных средств, вида продукта (</w:t>
      </w:r>
      <w:proofErr w:type="spellStart"/>
      <w:r>
        <w:rPr>
          <w:rFonts w:ascii="Times New Roman" w:hAnsi="Times New Roman"/>
          <w:sz w:val="20"/>
        </w:rPr>
        <w:t>невозобновляемая</w:t>
      </w:r>
      <w:proofErr w:type="spellEnd"/>
      <w:r>
        <w:rPr>
          <w:rFonts w:ascii="Times New Roman" w:hAnsi="Times New Roman"/>
          <w:sz w:val="20"/>
        </w:rPr>
        <w:t>/возобновляемая кредитная линия, инвестиционный кредит и пр.), суммы по договору,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е) </w:t>
      </w:r>
      <w:proofErr w:type="spellStart"/>
      <w:r>
        <w:rPr>
          <w:rFonts w:ascii="Times New Roman" w:hAnsi="Times New Roman"/>
          <w:sz w:val="20"/>
        </w:rPr>
        <w:t>забалансовых</w:t>
      </w:r>
      <w:proofErr w:type="spellEnd"/>
      <w:r>
        <w:rPr>
          <w:rFonts w:ascii="Times New Roman" w:hAnsi="Times New Roman"/>
          <w:sz w:val="20"/>
        </w:rPr>
        <w:t xml:space="preserve">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Годовая бухгалтерская отчетность предоставляется с отметкой налогового орган</w:t>
      </w:r>
      <w:proofErr w:type="gramStart"/>
      <w:r>
        <w:rPr>
          <w:rFonts w:ascii="Times New Roman" w:hAnsi="Times New Roman"/>
          <w:sz w:val="20"/>
        </w:rPr>
        <w:t>а о ее</w:t>
      </w:r>
      <w:proofErr w:type="gramEnd"/>
      <w:r>
        <w:rPr>
          <w:rFonts w:ascii="Times New Roman" w:hAnsi="Times New Roman"/>
          <w:sz w:val="20"/>
        </w:rPr>
        <w:t xml:space="preserve">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органа в указанных случаях не требуется. На этапе подписания договора предоставляется отчетность Заявителя за отчетные периоды, завершившиеся после подачи Заявки, и не представлявшаяся ранее.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> Расчет величины чистых активов осуществляется согласно порядку, утвержденному Приказом Минфина России от 28.08.2014 № 84н «Об утверждении Порядка определения стоимости чистых активов».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hAnsi="Times New Roman"/>
          <w:sz w:val="20"/>
        </w:rPr>
        <w:t> П</w:t>
      </w:r>
      <w:proofErr w:type="gramEnd"/>
      <w:r>
        <w:rPr>
          <w:rFonts w:ascii="Times New Roman" w:hAnsi="Times New Roman"/>
          <w:sz w:val="20"/>
        </w:rPr>
        <w:t>о форме, рекомендуемой приказом ФАС России от 26.06.2012 № 409 «Об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брокерам)»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</w:rPr>
        <w:t> Срок действия – в пределах 6 месяцев до даты подписания договора займа.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случае </w:t>
      </w:r>
      <w:proofErr w:type="spellStart"/>
      <w:r>
        <w:rPr>
          <w:rFonts w:ascii="Times New Roman" w:hAnsi="Times New Roman"/>
          <w:sz w:val="20"/>
        </w:rPr>
        <w:t>нераскрытия</w:t>
      </w:r>
      <w:proofErr w:type="spellEnd"/>
      <w:r>
        <w:rPr>
          <w:rFonts w:ascii="Times New Roman" w:hAnsi="Times New Roman"/>
          <w:sz w:val="20"/>
        </w:rPr>
        <w:t xml:space="preserve"> Заявителем ключевых исполнителей на момент принятия Фондом решения о предоставлении </w:t>
      </w:r>
      <w:proofErr w:type="spellStart"/>
      <w:r>
        <w:rPr>
          <w:rFonts w:ascii="Times New Roman" w:hAnsi="Times New Roman"/>
          <w:sz w:val="20"/>
        </w:rPr>
        <w:t>софинансирования</w:t>
      </w:r>
      <w:proofErr w:type="spellEnd"/>
      <w:r>
        <w:rPr>
          <w:rFonts w:ascii="Times New Roman" w:hAnsi="Times New Roman"/>
          <w:sz w:val="20"/>
        </w:rPr>
        <w:t xml:space="preserve"> проекта, Заявитель для согласования платежа с ключевым исполнителем со стороны Фонда обязан предоставить все документы, перечисленные в разделе 3 таблицы.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> Фонд перечисляет денежные средства на расчетный счет Заемщика после предоставления в Фонд оригинала банковской гарантии.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</w:rPr>
        <w:t> Документы не предоставляются в отношении кредитных организаций, субъектов РФ, АО «Федеральная корпорация по развитию малого и среднего предпринимательства», региональных фондов содействия кредитованию МСП, институтов развития.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z w:val="20"/>
        </w:rPr>
        <w:t> Справка должна содержать первоначальную стоимость постановки на учет объекта ОС с расшифровкой всех косвенных расходов (стоимости доставки, таможенных пошлин и сборов, налогов, стоимости пусконаладочных работ, шефмонтажа, сертификации, обучения и пр.), остаточную стоимость на отчетную дату.</w:t>
      </w:r>
    </w:p>
    <w:p w:rsidR="00644A4E" w:rsidRDefault="00644A4E" w:rsidP="00644A4E">
      <w:pPr>
        <w:pStyle w:val="a9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> Справка подписывается полномочным представителем Заявителя. В справке указывается: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недвижимого имущества Заявителя или рекомендованных им Залогодателей: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имущества согласно выписке из ЕГРН,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кадастровый номер согласно выписке из ЕГРН,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срока),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Залогодателя,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644A4E" w:rsidRDefault="00644A4E" w:rsidP="00644A4E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производилась;</w:t>
      </w:r>
    </w:p>
    <w:p w:rsidR="00644A4E" w:rsidRDefault="00644A4E" w:rsidP="00644A4E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движимого имущества Заявителя или рекомендованных им Залогодателей:</w:t>
      </w:r>
    </w:p>
    <w:p w:rsidR="00644A4E" w:rsidRDefault="00644A4E" w:rsidP="00644A4E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 передаваемого в залог имущества или выписка согласно унифицированной форме ОС-1, марка, модель объекта,</w:t>
      </w:r>
    </w:p>
    <w:p w:rsidR="00644A4E" w:rsidRDefault="00644A4E" w:rsidP="00644A4E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 выпуска,</w:t>
      </w:r>
    </w:p>
    <w:p w:rsidR="00644A4E" w:rsidRDefault="00644A4E" w:rsidP="00644A4E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Залогодателя,</w:t>
      </w:r>
    </w:p>
    <w:p w:rsidR="00644A4E" w:rsidRDefault="00644A4E" w:rsidP="00644A4E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644A4E" w:rsidRDefault="00644A4E" w:rsidP="00644A4E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производилась.</w:t>
      </w:r>
    </w:p>
    <w:bookmarkEnd w:id="16"/>
    <w:p w:rsidR="00644A4E" w:rsidRDefault="00644A4E" w:rsidP="00644A4E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sectPr w:rsidR="00644A4E">
          <w:headerReference w:type="default" r:id="rId8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5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и требования к качеству Основного обеспечения,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проектам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  <w:t>Независимые гарантии и поручительства</w:t>
      </w:r>
    </w:p>
    <w:tbl>
      <w:tblPr>
        <w:tblStyle w:val="af7"/>
        <w:tblW w:w="5158" w:type="pct"/>
        <w:tblInd w:w="-318" w:type="dxa"/>
        <w:tblLook w:val="04A0" w:firstRow="1" w:lastRow="0" w:firstColumn="1" w:lastColumn="0" w:noHBand="0" w:noVBand="1"/>
      </w:tblPr>
      <w:tblGrid>
        <w:gridCol w:w="4536"/>
        <w:gridCol w:w="1102"/>
        <w:gridCol w:w="4234"/>
      </w:tblGrid>
      <w:tr w:rsidR="00644A4E" w:rsidTr="00877CDB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%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Независимые гарантии кредитных организаций</w:t>
            </w:r>
            <w:r>
              <w:rPr>
                <w:rFonts w:ascii="Times New Roman" w:hAnsi="Times New Roman"/>
                <w:sz w:val="20"/>
                <w:szCs w:val="26"/>
              </w:rPr>
              <w:t>, относящихся к одной из следующих категорий: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1) 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>&amp;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Global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Moody</w:t>
            </w:r>
            <w:r>
              <w:rPr>
                <w:rFonts w:ascii="Times New Roman" w:hAnsi="Times New Roman"/>
                <w:sz w:val="20"/>
                <w:szCs w:val="26"/>
              </w:rPr>
              <w:t>’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Investors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Service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Fitch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>) не более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чем на две ступени ниже суверенного рейтинга Российской Федерации в национальной или иностранной валюте;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2) кредитные организации, соответствующие следующим критериям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1"/>
            </w:r>
            <w:r>
              <w:rPr>
                <w:rFonts w:ascii="Times New Roman" w:hAnsi="Times New Roman"/>
                <w:sz w:val="20"/>
                <w:szCs w:val="26"/>
              </w:rPr>
              <w:t>: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наличие генеральной лицензии Центрального Банка РФ;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собственные средства (капитал) в размере не менее 25 млрд. руб.;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участие в системе обязательного страхования вкладов;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включение в перечень кредитных организаций, публикуемый на официальном сайте Центрального Банка РФ в разделе «Информация по кредитным организациям»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2"/>
            </w:r>
            <w:r>
              <w:rPr>
                <w:rFonts w:ascii="Times New Roman" w:hAnsi="Times New Roman"/>
                <w:sz w:val="20"/>
                <w:szCs w:val="26"/>
              </w:rPr>
              <w:t>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102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234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кредитной организации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предусмотрена последующая замена гарантии на иное обеспечение, то срок действия гарантии должен превышать срок, установленный для оформления иного обеспечения, не менее, чем на 6 месяцев.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102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234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Гарантия или поручительство должны быть безотзывными, предусматривать солидарную, либо субсидиарную ответственность. 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Поручительства и независимые гарантии юридических лиц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3"/>
            </w:r>
            <w:r>
              <w:rPr>
                <w:rFonts w:ascii="Times New Roman" w:hAnsi="Times New Roman"/>
                <w:sz w:val="20"/>
                <w:szCs w:val="26"/>
              </w:rPr>
              <w:t xml:space="preserve"> при условии, что их финансовое положение может быть оценено Фондом как устойчивое.</w:t>
            </w:r>
          </w:p>
        </w:tc>
        <w:tc>
          <w:tcPr>
            <w:tcW w:w="1102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234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Поручительство юридического лица должно предусматривать солидарную, ответственность поручителя, срок действия поручительства должен превышать срок обязательства по возврату займа на 1 год.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юридического лица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</w:t>
            </w:r>
            <w:r>
              <w:rPr>
                <w:rFonts w:ascii="Times New Roman" w:hAnsi="Times New Roman"/>
                <w:sz w:val="20"/>
                <w:szCs w:val="26"/>
              </w:rPr>
              <w:lastRenderedPageBreak/>
              <w:t>предусмотрена последующая замена гарантии/поручительства на иное обеспечение, то срок действия гарантии должен превышать срок, установленный для оформления иного обеспечения, не менее, чем на 6 месяцев.</w:t>
            </w:r>
          </w:p>
        </w:tc>
      </w:tr>
    </w:tbl>
    <w:p w:rsidR="00644A4E" w:rsidRDefault="00644A4E" w:rsidP="00644A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Залог имущества и имущественных прав (за исключением имущества, перечисленного в Приложении № 7 к настоящему Порядку)</w:t>
      </w:r>
    </w:p>
    <w:tbl>
      <w:tblPr>
        <w:tblStyle w:val="af7"/>
        <w:tblW w:w="5143" w:type="pct"/>
        <w:tblInd w:w="-318" w:type="dxa"/>
        <w:tblLook w:val="04A0" w:firstRow="1" w:lastRow="0" w:firstColumn="1" w:lastColumn="0" w:noHBand="0" w:noVBand="1"/>
      </w:tblPr>
      <w:tblGrid>
        <w:gridCol w:w="4358"/>
        <w:gridCol w:w="1753"/>
        <w:gridCol w:w="3733"/>
      </w:tblGrid>
      <w:tr w:rsidR="00644A4E" w:rsidTr="00877CDB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%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Драгоценные металлы, в стандартных и/или мерных слитках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соответствующие государственным и отраслевым стандартам Российской Федерации и международным стандартам качества, а также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драгоценные металлы, отражаемые на обезличенных металлических счетах.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Обязательное хранение закладываемого имущества в кредитных организациях, в которых могут быть открыты счета и размещены временно свободные денежные средства Фонда.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Перечень кредитных организаций для открытия счетов и размещения временно свободных денежных средств определяется приказом руководителя Фонда.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Государственные облигации, </w:t>
            </w:r>
            <w:r>
              <w:rPr>
                <w:rFonts w:ascii="Times New Roman" w:hAnsi="Times New Roman"/>
                <w:bCs/>
                <w:sz w:val="20"/>
                <w:szCs w:val="26"/>
              </w:rPr>
              <w:t xml:space="preserve">обращающиеся на российском биржевом рынке. 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Движимые и недвижимые имущественные активы.</w:t>
            </w: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Жилая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(квартиры, апартаменты, многоквартирные жилые дома/комплексы, коттеджи,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таунхаусы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 xml:space="preserve"> и др.).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20% 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 принимается в залог недвижимость граждан, на которую в соответствии с законодательством не может быть обращено взыскание.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6"/>
              </w:rPr>
              <w:t>Коммерческая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машиноместа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>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фитнес-центры, АЗС (включая земельный участок под объектом, сооружения и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оборудование) и др.);</w:t>
            </w:r>
            <w:proofErr w:type="gramEnd"/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25%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Промышленная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деятельности, включая земельный участок под объектом);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Земельные участки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из состава земель промышленности, энергетики, транспорта, </w:t>
            </w:r>
            <w:r>
              <w:rPr>
                <w:rFonts w:ascii="Times New Roman" w:hAnsi="Times New Roman"/>
                <w:sz w:val="20"/>
                <w:szCs w:val="26"/>
              </w:rPr>
              <w:lastRenderedPageBreak/>
              <w:t>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lastRenderedPageBreak/>
              <w:t>Оборудование и транспортные средства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(технологическое оборудование, автотранспорт, спецтехника и самоходные механизмы, прочие машины и оборудование).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Оборудование должно быть полностью оплачено, принято к бухгалтерскому учету и введено в эксплуатацию. 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Объекты незавершенного строительства</w:t>
            </w:r>
            <w:r>
              <w:rPr>
                <w:rFonts w:ascii="Times New Roman" w:hAnsi="Times New Roman"/>
                <w:sz w:val="20"/>
                <w:szCs w:val="26"/>
              </w:rPr>
              <w:t>;</w:t>
            </w:r>
          </w:p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418" w:type="dxa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50%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Право собственности на объект незавершенного строительства должно быть оформлено.</w:t>
            </w: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Акции юридических лиц, имеющие биржевое обращение.</w:t>
            </w: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Включенные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в котировальный список ПАО Московская биржа 1 уровня.</w:t>
            </w: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и волатильности на соответствующем сроке,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25%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Иные акции, допущенные к торгам ПАО Московская биржа.</w:t>
            </w: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и волатильности на соответствующем сроке,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644A4E" w:rsidTr="00877CDB">
        <w:tc>
          <w:tcPr>
            <w:tcW w:w="4537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Акции юридических лиц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не имеющие биржевого обращения, а также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доли участия в уставном капитале юридических лиц.</w:t>
            </w:r>
          </w:p>
        </w:tc>
        <w:tc>
          <w:tcPr>
            <w:tcW w:w="1418" w:type="dxa"/>
            <w:vAlign w:val="center"/>
          </w:tcPr>
          <w:p w:rsidR="00644A4E" w:rsidRDefault="00644A4E" w:rsidP="00877CDB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с учетом размера портфеля (доли в уставном капитале), но не менее </w:t>
            </w: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3889" w:type="dxa"/>
          </w:tcPr>
          <w:p w:rsidR="00644A4E" w:rsidRDefault="00644A4E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Акции (доли) юридических лиц принимаются в залог в объеме не менее 25% уставного капитала при условии, что финансовое положение данных юридических лиц может быть оценено как устойчивое.</w:t>
            </w:r>
          </w:p>
        </w:tc>
      </w:tr>
    </w:tbl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положение юридического лица</w:t>
      </w:r>
      <w:r>
        <w:rPr>
          <w:rStyle w:val="a5"/>
          <w:rFonts w:ascii="Times New Roman" w:hAnsi="Times New Roman"/>
          <w:sz w:val="26"/>
          <w:szCs w:val="26"/>
        </w:rPr>
        <w:endnoteReference w:id="4"/>
      </w:r>
      <w:r>
        <w:rPr>
          <w:rFonts w:ascii="Times New Roman" w:hAnsi="Times New Roman"/>
          <w:sz w:val="26"/>
          <w:szCs w:val="26"/>
        </w:rPr>
        <w:t xml:space="preserve"> может быть оценено как устойчивое</w:t>
      </w:r>
      <w:r>
        <w:rPr>
          <w:rStyle w:val="a5"/>
          <w:rFonts w:ascii="Times New Roman" w:hAnsi="Times New Roman"/>
          <w:sz w:val="26"/>
          <w:szCs w:val="26"/>
        </w:rPr>
        <w:endnoteReference w:id="5"/>
      </w:r>
      <w:r>
        <w:rPr>
          <w:rFonts w:ascii="Times New Roman" w:hAnsi="Times New Roman"/>
          <w:sz w:val="26"/>
          <w:szCs w:val="26"/>
        </w:rPr>
        <w:t xml:space="preserve"> при одновременном соблюдении следующих условий: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показателя Чистый долг/</w:t>
      </w:r>
      <w:r>
        <w:rPr>
          <w:rFonts w:ascii="Times New Roman" w:hAnsi="Times New Roman"/>
          <w:sz w:val="26"/>
          <w:szCs w:val="26"/>
          <w:lang w:val="en-US"/>
        </w:rPr>
        <w:t>EBITDA</w:t>
      </w:r>
      <w:r>
        <w:rPr>
          <w:rStyle w:val="a5"/>
          <w:rFonts w:ascii="Times New Roman" w:hAnsi="Times New Roman"/>
          <w:sz w:val="26"/>
          <w:szCs w:val="26"/>
          <w:lang w:val="en-US"/>
        </w:rPr>
        <w:endnoteReference w:id="6"/>
      </w:r>
      <w:r>
        <w:rPr>
          <w:rFonts w:ascii="Times New Roman" w:hAnsi="Times New Roman"/>
          <w:sz w:val="26"/>
          <w:szCs w:val="26"/>
        </w:rPr>
        <w:t xml:space="preserve"> – не более 6 за два последних квартала;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процентов, подлежащих уплате за весь период пользования займом;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существенных (более 15%) отрицательных изменений в динамике следующих показателей: выручка от реализации, прибыль от продаж, валюта баланса.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отчетного периода текущего финансового года с аналогичным периодом предыдущего года.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 периодом;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бухгалтерская отчетность юридического лица за последний завершенный финансовый год должна сопровождаться аудиторским заключением (в случаях, </w:t>
      </w:r>
      <w:r>
        <w:rPr>
          <w:rFonts w:ascii="Times New Roman" w:hAnsi="Times New Roman"/>
          <w:sz w:val="26"/>
          <w:szCs w:val="26"/>
        </w:rPr>
        <w:lastRenderedPageBreak/>
        <w:t xml:space="preserve">если составление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аудированной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отчетности предусмотрено законодательством). Аудиторское заключение не должно содержать отрицательного мнения аудитора или отказа от выражения мнения;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юридическое лицо не находится в процессе ликвидации/банкротства.</w:t>
      </w:r>
    </w:p>
    <w:p w:rsidR="00644A4E" w:rsidRDefault="00644A4E" w:rsidP="0064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sectPr w:rsidR="00644A4E">
          <w:headerReference w:type="first" r:id="rId9"/>
          <w:endnotePr>
            <w:numFmt w:val="decimal"/>
            <w:numRestart w:val="eachSect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6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Дополнительного обеспечения,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софинансируемым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проектам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 Поручительства физических лиц.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 Приобретаемое в процессе реализации проекта имущество, не отвечающее требованиям отнесения к Основному обеспечению.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Акции, облигации, доли участия в уставном капитале юридических лиц, не отвечающие требованиям отнесения к Основному обеспечению.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 Другие виды обеспечения, которые по результатам оценки их качества не могут быть отнесены к Основному обеспечению.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7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</w:t>
      </w:r>
    </w:p>
    <w:p w:rsidR="00644A4E" w:rsidRDefault="00644A4E" w:rsidP="00644A4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имущества, не принимаемого Фондом в качестве обеспечения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 Имущество, залог которого ограничен или запрещен законом (ст. 336 Гражданского кодекса Российской Федерации):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объекты гражданских прав, ограниченные в обороте (ст. 129 Гражданского кодекса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Российской Федерации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имущество, которое не может свободно отчуждаться или переходить от одного лица к другому (пункт 1 статьи 129 Гражданского кодекса Российской Федерации);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сделок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 которыми допускается по специальному разрешению (пункт 2 статьи 129 Гражданского кодекса Российской Федерации).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 Имущество, свободная реализация которого запрещена в соответствии с законодательством Российской Федерации: вооружение, боеприпасы, военная техника, все виды ракетного топлива, ракетно-космические комплексы, системы связи и управления военного назначения и т.д.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Земельные участки, перечисленные в статье 27 Земельного кодекса Российской Федерации: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находящиеся в государственной или муниципальной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собственности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т.д.;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 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материалов и радиоактивных веществ, объектами, в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соответствии с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видами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деятельности которых созданы закрытые административно-территориальные образования, объектами учреждений и органов Федеральной службы исполнения наказаний и т.д.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 Земельные участки, относящиеся к лесному фонду (статья 8 Лесного кодекса Российской Федерации).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 Участки недр (статья 1.2 Закона Российской Федерации от 21.02.1992                               № 2359-1 «О недрах»).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 Часть земельного участка, площадь которого меньше минимального размера,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(статья 63 Федерального закона от 16.07.1998 № 102-ФЗ «Об ипотеке (залоге недвижимости)»).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 Доли в праве собственности на земельный участок (ст. 62 Федерального закона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Российской Федерации от 16.07.1998 № 102-ФЗ «Об ипотеке (залоге недвижимости)»), кроме случая залога доли в праве собственности на земельный участок одновременно с залогом здания, сооружения, помещения (статья 69 Федерального закона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 16.07.1998 № 102-ФЗ «Об ипотеке (залоге недвижимости)»).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 Объект концессионного соглашения (часть 17 статьи 3 Федерального закона от 21.07.2005 № 115-ФЗ «О концессионных соглашениях»).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 Недвижимое имущество граждан, на которое в соответствии с законодательством не может быть обращено взыскание (статья 446 Гражданского процессуального кодекса Российской Федерации).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10. 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</w:t>
      </w:r>
      <w:proofErr w:type="gramEnd"/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11. 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12. Земельные участки сельскохозяйственного назначения.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 Права пользования (аренда) имуществом, за исключением случаев, прямо указанных в настоящем Порядке.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 Обязательные права (право требования) по договорам (контрактам).</w:t>
      </w:r>
      <w:bookmarkEnd w:id="12"/>
    </w:p>
    <w:p w:rsidR="00644A4E" w:rsidRDefault="00644A4E" w:rsidP="00644A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8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Министерства промышленности и энергетики Чувашской Республики </w:t>
      </w:r>
      <w:r>
        <w:rPr>
          <w:rFonts w:ascii="Times New Roman" w:hAnsi="Times New Roman"/>
          <w:sz w:val="26"/>
          <w:szCs w:val="26"/>
        </w:rPr>
        <w:t>займов на реализацию проектов в сфере развития промышленности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Требования к организациям, осуществляющим специализированную деятельность по экспертизе</w:t>
      </w:r>
    </w:p>
    <w:p w:rsidR="00644A4E" w:rsidRDefault="00644A4E" w:rsidP="00644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4A4E" w:rsidRDefault="00644A4E" w:rsidP="006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 Деятельность организации в области проведения предметной научной, научно-практической, исследовательской работы в сфере реализации проекта, либо финансово-экономической, правовой экспертизы – не менее 3 (Трех) лет. </w:t>
      </w:r>
    </w:p>
    <w:p w:rsidR="00644A4E" w:rsidRDefault="00644A4E" w:rsidP="006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 Опыт проведения экспертиз проектов в сфере промышленности. </w:t>
      </w:r>
    </w:p>
    <w:p w:rsidR="00644A4E" w:rsidRDefault="00644A4E" w:rsidP="0064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 Наличие как минимум 3 (Трех) экспертов (на основании трудового или гражданско-правового договора), имеющих диплом о наличии профильного высшего образования и стаж не менее 3 (Трех) лет в предметной сфере проведения экспертизы на исследовательских или инженерных должностях или на должности, предполагающей проведение самостоятельной экспертизы проектов, в производственных, инвестиционных или консалтинговых компаниях. </w:t>
      </w:r>
    </w:p>
    <w:p w:rsidR="00644A4E" w:rsidRDefault="00644A4E" w:rsidP="00644A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644A4E" w:rsidRDefault="00644A4E" w:rsidP="00644A4E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Министерства промышленности и энергетики Чувашской Республики </w:t>
      </w:r>
      <w:r>
        <w:rPr>
          <w:rFonts w:ascii="Times New Roman" w:hAnsi="Times New Roman"/>
          <w:sz w:val="26"/>
          <w:szCs w:val="26"/>
        </w:rPr>
        <w:t>займов на реализацию проектов в сфере развития промышленности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Институты развития, </w:t>
      </w:r>
    </w:p>
    <w:p w:rsidR="00644A4E" w:rsidRDefault="00644A4E" w:rsidP="00644A4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осуществляющие совместно с Фондом финансирование проекта и/или предоставляющие обеспечение, имеющие право на последующий залог имущества, принятого Фондом в качестве Основного обеспечения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Акционерное общество «Федеральная корпорация по развитию малого и среднего предпринимательства».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Автономная некоммерческая организация «Гарантийный фонд Чувашской Республики». </w:t>
      </w:r>
    </w:p>
    <w:p w:rsidR="00644A4E" w:rsidRDefault="00644A4E" w:rsidP="00644A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B45" w:rsidRDefault="00385B45"/>
    <w:sectPr w:rsidR="00385B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4E" w:rsidRDefault="00644A4E" w:rsidP="00644A4E">
      <w:pPr>
        <w:spacing w:after="0" w:line="240" w:lineRule="auto"/>
      </w:pPr>
      <w:r>
        <w:separator/>
      </w:r>
    </w:p>
  </w:endnote>
  <w:endnote w:type="continuationSeparator" w:id="0">
    <w:p w:rsidR="00644A4E" w:rsidRDefault="00644A4E" w:rsidP="00644A4E">
      <w:pPr>
        <w:spacing w:after="0" w:line="240" w:lineRule="auto"/>
      </w:pPr>
      <w:r>
        <w:continuationSeparator/>
      </w:r>
    </w:p>
  </w:endnote>
  <w:endnote w:id="1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Критерии в соответствии с пунктом 11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 от 21.12.2011 № 1080.</w:t>
      </w:r>
    </w:p>
  </w:endnote>
  <w:endnote w:id="2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частью 1 статьи 2 Федерального закона от 21.07.2014 № 213-ФЗ «Об открытии банковских счетов</w:t>
      </w:r>
      <w:proofErr w:type="gramEnd"/>
      <w:r>
        <w:rPr>
          <w:rFonts w:ascii="Times New Roman" w:hAnsi="Times New Roman"/>
        </w:rPr>
        <w:t xml:space="preserve">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</w:endnote>
  <w:endnote w:id="3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Здесь к юридическим лицам не относятся инвестиционные и финансовые компании, страховые организации, биржи, депозитарии и банки.</w:t>
      </w:r>
    </w:p>
  </w:endnote>
  <w:endnote w:id="4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 исключением кредитных организаций.</w:t>
      </w:r>
    </w:p>
  </w:endnote>
  <w:endnote w:id="5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Анализ финансового положения осуществляется на основании бухгалтерской (финансовой) отчетности компании, подготовленной в соответствии с требованиями законодательства, в том числе консолидированной финансовой отчетности в случае, если ее составление предусмотрено требованиями федеральных законов.</w:t>
      </w:r>
    </w:p>
  </w:endnote>
  <w:endnote w:id="6">
    <w:p w:rsidR="00644A4E" w:rsidRDefault="00644A4E" w:rsidP="00644A4E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Показатель Чистый долг/</w:t>
      </w:r>
      <w:r>
        <w:rPr>
          <w:rFonts w:ascii="Times New Roman" w:hAnsi="Times New Roman"/>
          <w:lang w:val="en-US"/>
        </w:rPr>
        <w:t>EBITDA</w:t>
      </w:r>
      <w:r>
        <w:rPr>
          <w:rFonts w:ascii="Times New Roman" w:hAnsi="Times New Roman"/>
        </w:rPr>
        <w:t xml:space="preserve"> рассчитывается в соответствии со следующей формулой: (долгосрочные кредиты и </w:t>
      </w:r>
      <w:proofErr w:type="gramStart"/>
      <w:r>
        <w:rPr>
          <w:rFonts w:ascii="Times New Roman" w:hAnsi="Times New Roman"/>
        </w:rPr>
        <w:t>займы</w:t>
      </w:r>
      <w:proofErr w:type="gramEnd"/>
      <w:r>
        <w:rPr>
          <w:rFonts w:ascii="Times New Roman" w:hAnsi="Times New Roman"/>
        </w:rPr>
        <w:t xml:space="preserve"> + краткосрочные кредиты и займы – денежные средства и денежные эквиваленты) / (прибыль до налогообложения за прошедшие 4 квартала + проценты к уплате за прошедшие 4 квартала – проценты к получению за последние 4 квартала + амортизация за прошедшие 4 квартала).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4E" w:rsidRDefault="00644A4E" w:rsidP="00644A4E">
      <w:pPr>
        <w:spacing w:after="0" w:line="240" w:lineRule="auto"/>
      </w:pPr>
      <w:r>
        <w:separator/>
      </w:r>
    </w:p>
  </w:footnote>
  <w:footnote w:type="continuationSeparator" w:id="0">
    <w:p w:rsidR="00644A4E" w:rsidRDefault="00644A4E" w:rsidP="0064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4E" w:rsidRDefault="00644A4E">
    <w:pPr>
      <w:pStyle w:val="af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916EC">
      <w:rPr>
        <w:rFonts w:ascii="Times New Roman" w:hAnsi="Times New Roman"/>
        <w:noProof/>
      </w:rPr>
      <w:t>53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21749849"/>
    </w:sdtPr>
    <w:sdtContent>
      <w:p w:rsidR="00644A4E" w:rsidRDefault="00644A4E">
        <w:pPr>
          <w:pStyle w:val="af1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0916EC">
          <w:rPr>
            <w:rFonts w:ascii="Times New Roman" w:hAnsi="Times New Roman"/>
            <w:noProof/>
          </w:rPr>
          <w:t>51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A5C"/>
    <w:multiLevelType w:val="multilevel"/>
    <w:tmpl w:val="1F3E3A5C"/>
    <w:lvl w:ilvl="0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5BE47ACE"/>
    <w:multiLevelType w:val="multilevel"/>
    <w:tmpl w:val="5BE47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6F4"/>
    <w:multiLevelType w:val="multilevel"/>
    <w:tmpl w:val="5F3C4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40CED"/>
    <w:multiLevelType w:val="multilevel"/>
    <w:tmpl w:val="6D440CED"/>
    <w:lvl w:ilvl="0">
      <w:start w:val="1"/>
      <w:numFmt w:val="bullet"/>
      <w:suff w:val="space"/>
      <w:lvlText w:val=""/>
      <w:lvlJc w:val="left"/>
      <w:pPr>
        <w:ind w:left="996" w:hanging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157EDD"/>
    <w:multiLevelType w:val="multilevel"/>
    <w:tmpl w:val="7C157ED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D"/>
    <w:rsid w:val="000916EC"/>
    <w:rsid w:val="00385B45"/>
    <w:rsid w:val="00644A4E"/>
    <w:rsid w:val="009D136D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644A4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44A4E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644A4E"/>
    <w:rPr>
      <w:vertAlign w:val="superscript"/>
    </w:rPr>
  </w:style>
  <w:style w:type="character" w:styleId="a6">
    <w:name w:val="Hyperlink"/>
    <w:basedOn w:val="a0"/>
    <w:uiPriority w:val="99"/>
    <w:unhideWhenUsed/>
    <w:qFormat/>
    <w:rsid w:val="00644A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644A4E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644A4E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9">
    <w:name w:val="endnote text"/>
    <w:basedOn w:val="a"/>
    <w:link w:val="aa"/>
    <w:uiPriority w:val="99"/>
    <w:unhideWhenUsed/>
    <w:qFormat/>
    <w:rsid w:val="00644A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qFormat/>
    <w:rsid w:val="00644A4E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644A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644A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644A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644A4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sid w:val="00644A4E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44A4E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f1">
    <w:name w:val="header"/>
    <w:basedOn w:val="a"/>
    <w:link w:val="af2"/>
    <w:uiPriority w:val="99"/>
    <w:unhideWhenUsed/>
    <w:qFormat/>
    <w:rsid w:val="00644A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644A4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semiHidden/>
    <w:unhideWhenUsed/>
    <w:qFormat/>
    <w:rsid w:val="00644A4E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qFormat/>
    <w:rsid w:val="00644A4E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5">
    <w:name w:val="footer"/>
    <w:basedOn w:val="a"/>
    <w:link w:val="af6"/>
    <w:uiPriority w:val="99"/>
    <w:unhideWhenUsed/>
    <w:qFormat/>
    <w:rsid w:val="00644A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qFormat/>
    <w:rsid w:val="00644A4E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qFormat/>
    <w:rsid w:val="00644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4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64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64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List Paragraph"/>
    <w:basedOn w:val="a"/>
    <w:qFormat/>
    <w:rsid w:val="00644A4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644A4E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644A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644A4E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644A4E"/>
    <w:rPr>
      <w:sz w:val="20"/>
    </w:rPr>
  </w:style>
  <w:style w:type="character" w:styleId="af9">
    <w:name w:val="Placeholder Text"/>
    <w:uiPriority w:val="99"/>
    <w:semiHidden/>
    <w:qFormat/>
    <w:rsid w:val="00644A4E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644A4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sid w:val="00644A4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44A4E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644A4E"/>
    <w:rPr>
      <w:vertAlign w:val="superscript"/>
    </w:rPr>
  </w:style>
  <w:style w:type="character" w:styleId="a6">
    <w:name w:val="Hyperlink"/>
    <w:basedOn w:val="a0"/>
    <w:uiPriority w:val="99"/>
    <w:unhideWhenUsed/>
    <w:qFormat/>
    <w:rsid w:val="00644A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644A4E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644A4E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9">
    <w:name w:val="endnote text"/>
    <w:basedOn w:val="a"/>
    <w:link w:val="aa"/>
    <w:uiPriority w:val="99"/>
    <w:unhideWhenUsed/>
    <w:qFormat/>
    <w:rsid w:val="00644A4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qFormat/>
    <w:rsid w:val="00644A4E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644A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644A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644A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644A4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sid w:val="00644A4E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44A4E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f1">
    <w:name w:val="header"/>
    <w:basedOn w:val="a"/>
    <w:link w:val="af2"/>
    <w:uiPriority w:val="99"/>
    <w:unhideWhenUsed/>
    <w:qFormat/>
    <w:rsid w:val="00644A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644A4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semiHidden/>
    <w:unhideWhenUsed/>
    <w:qFormat/>
    <w:rsid w:val="00644A4E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qFormat/>
    <w:rsid w:val="00644A4E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5">
    <w:name w:val="footer"/>
    <w:basedOn w:val="a"/>
    <w:link w:val="af6"/>
    <w:uiPriority w:val="99"/>
    <w:unhideWhenUsed/>
    <w:qFormat/>
    <w:rsid w:val="00644A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qFormat/>
    <w:rsid w:val="00644A4E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qFormat/>
    <w:rsid w:val="00644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4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64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64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List Paragraph"/>
    <w:basedOn w:val="a"/>
    <w:qFormat/>
    <w:rsid w:val="00644A4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644A4E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644A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644A4E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644A4E"/>
    <w:rPr>
      <w:sz w:val="20"/>
    </w:rPr>
  </w:style>
  <w:style w:type="character" w:styleId="af9">
    <w:name w:val="Placeholder Text"/>
    <w:uiPriority w:val="99"/>
    <w:semiHidden/>
    <w:qFormat/>
    <w:rsid w:val="00644A4E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644A4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20712</Words>
  <Characters>118062</Characters>
  <Application>Microsoft Office Word</Application>
  <DocSecurity>0</DocSecurity>
  <Lines>983</Lines>
  <Paragraphs>276</Paragraphs>
  <ScaleCrop>false</ScaleCrop>
  <Company>Надежда</Company>
  <LinksUpToDate>false</LinksUpToDate>
  <CharactersWithSpaces>138498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4</cp:revision>
  <dcterms:created xsi:type="dcterms:W3CDTF">2021-03-04T12:10:00Z</dcterms:created>
  <dcterms:modified xsi:type="dcterms:W3CDTF">2021-03-04T12:13:00Z</dcterms:modified>
</cp:coreProperties>
</file>