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1ADF" w:rsidRPr="002310D4" w:rsidTr="00877CDB">
        <w:tc>
          <w:tcPr>
            <w:tcW w:w="4785" w:type="dxa"/>
          </w:tcPr>
          <w:p w:rsidR="007A1ADF" w:rsidRDefault="007A1ADF" w:rsidP="00877CD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A1ADF" w:rsidRDefault="007A1ADF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УТВЕРЖДЕН</w:t>
            </w:r>
          </w:p>
          <w:p w:rsidR="007A1ADF" w:rsidRDefault="007A1ADF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Наблюдательным советом автономного учреждения Чувашской Республики</w:t>
            </w:r>
          </w:p>
          <w:p w:rsidR="007A1ADF" w:rsidRDefault="007A1ADF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«Фонд развития промышленности и инвестиционной деятельности</w:t>
            </w:r>
          </w:p>
          <w:p w:rsidR="007A1ADF" w:rsidRDefault="007A1ADF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Чувашской Республике» </w:t>
            </w:r>
          </w:p>
          <w:p w:rsidR="007A1ADF" w:rsidRDefault="007A1ADF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Министерства промышленности и энергетики Чувашской Республики</w:t>
            </w:r>
          </w:p>
          <w:p w:rsidR="007A1ADF" w:rsidRDefault="007A1ADF" w:rsidP="00877CD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ADF" w:rsidRPr="002310D4" w:rsidRDefault="007A1ADF" w:rsidP="00877C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(п</w:t>
            </w:r>
            <w:r w:rsidRPr="002310D4">
              <w:rPr>
                <w:rFonts w:ascii="Times New Roman" w:hAnsi="Times New Roman" w:cs="Times New Roman"/>
                <w:b w:val="0"/>
                <w:sz w:val="24"/>
                <w:szCs w:val="26"/>
              </w:rPr>
              <w:t>ротокол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№ 2 от 01 февраля 2021 г.)</w:t>
            </w:r>
            <w:r w:rsidRPr="002310D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</w:t>
            </w:r>
          </w:p>
        </w:tc>
      </w:tr>
    </w:tbl>
    <w:p w:rsidR="007A1ADF" w:rsidRDefault="007A1ADF" w:rsidP="007A1A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1ADF" w:rsidRDefault="007A1ADF" w:rsidP="007A1A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1ADF" w:rsidRDefault="007A1ADF" w:rsidP="007A1A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Р Я Д О К </w:t>
      </w:r>
    </w:p>
    <w:p w:rsidR="007A1ADF" w:rsidRDefault="007A1ADF" w:rsidP="007A1A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субъектов инвестиционной деятельности в Чувашской Республике</w:t>
      </w:r>
    </w:p>
    <w:p w:rsidR="007A1ADF" w:rsidRDefault="007A1ADF" w:rsidP="007A1A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1ADF" w:rsidRDefault="007A1ADF" w:rsidP="007A1A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A1ADF" w:rsidRDefault="007A1ADF" w:rsidP="007A1A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Настоящий Порядок определяет порядок и условия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(далее – Фонд) займов субъектам инвестиционной деятельности в Чувашской Республике, реализующим проекты в рамках отраслевых направлений экономической деятельности, указанных в приложении № 1 к настоящему Порядку (далее соответственно – проекты, Порядок).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Порядок согласован с Министерством промышленности и энергетики Чувашской Республики (письмо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от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письмо от 21.12.2021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/>
        <w:t xml:space="preserve">№ 03/09-3460).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Займы предоставляются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проектов, отобранных в соответствии с настоящим Порядком.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Основными целями предоставления займов являются: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стимулирование развития инвестиционной деятельности на территории Чувашской Республики;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повышение технического уровня и конкурентоспособности продукции, выпускаемой субъектами инвестиционной деятельности Чувашской Республики;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повышение инвестиционной активности субъектов инвестиционной деятельности Чувашской Республики.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1.4.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Основные термины и определения: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Аффилированные лица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Бенефициарный</w:t>
      </w:r>
      <w:proofErr w:type="spellEnd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 владелец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физическое лицо, которое, в конечном счете, прямо или косвенно (через третьих лиц) владеет юридическим лицом или имеет в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нем преобладающее участие (более 25% в капитале), либо имеет возможность контролировать его действия в силу иных оснований.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Гарант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График платежей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установленный договором займа график возврата средств займа, включающий в себя даты перечисления и суммы, перечисляемые Заемщиком.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Группа лиц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День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рабочий день, определяемый в соответствии с действующим трудовым законодательством, если в настоящем Порядке не указано иное.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Заем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– целевой заем, предоставленный Фондом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проектов субъектов инвестиционной деятельности в Чувашской Республике.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Заемщик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– российский субъект инвестиционной деятельности, реализующий в соответствии с пунктом 1.1. настоящего Порядка проект в рамках отраслевых направлений экономической деятельности, заключивший с Фондом договор займа и получивший средства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Залоговая стоимость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стоимость предмета залога, согласованная сторонами и признаваемая ценой реализации (начальной продажной ценой) предмета залога при обращении на него взыскания.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Залогодатель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заемщик или третье лицо, которому принадлежит имущество, предоставленное в качестве залога в обеспечение обязательств по договору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Заявитель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российский субъект инвестиционной деятельности, реализующий проект в рамках отраслевых направлений экономической деятельности в соответствии с пунктом 1.1 настоящего Порядка и предоставивший документы в Фонд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Календарный план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перечень основных этапов работ (задач) проекта со сроками их выполнения с указанием наименований отчетных документов, отражающих результаты работ. Календарный план является приложением к договору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Квартальный отчет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отчетность, предоставляемая Заемщиком Фонду по окончании каждого квартала, в соответствии с условиями договора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Ключевой исполнитель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поставщик оборудования, подрядчик на выполнение работ (оказание услуг), на которого приходится выплата Заемщиком более чем 20% от суммы займа в ходе реализации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договорное обязательство Заемщика Фонду, которое содержит перечень определенных действий, которые Заемщик обязуется выполнять или воздержаться от их выполнения на протяжении действия договора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Контрольное мероприятие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мероприятие, включающее в себя выезд на территорию реализации проекта, посредством которого обеспечивается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выполнение задач, функций и полномочий Фонда в сфере контроля соблюдения Заемщиком условий и обязательств, накладываемых на него договором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Критические замечания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недостатки, выявленные в ходе экспертизы и отбора проектов, внешние и внутренние ограничения, которые могут препятствовать успешной реализации проекта ввиду того, что они являются существенными и не были учтены при его подготовке, но при этом не являющиеся безусловным препятствием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Фондом.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Менеджер проекта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сотрудник Фонда, назначенный уполномоченным должностным лицом, выполняющий функции взаимодействия с Заявителем по проекту, организации проведения экспертиз и вынесения проекта на рассмотрение Экспертного совета.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Направление целевого использования средств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перечень мероприятий, на реализацию которых могут быть направлены средства займа, в соответствии с требованиями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Независимая гарантия (гарантия)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- обязательство уплатить Фонду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Независимая экспертиза проекта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экспертиза, проводимая по поручению Фонда сторонней по отношению к Заявителю и (или)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 по существу и соответствующая требованиям, указанным в приложении № 8 к настоящему Порядку.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Обеспечение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– установленные законодательством Российской Федерации способы обеспечения исполнения обязательств Заемщика по договору займа, предоставленного Фондом в качестве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проектов, и предусмотренные соответствующим договором с Заемщиком, включая залог, поручительство, независимую гарантию и другие виды.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Общий бюджет проекта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сумма всех затрат по проекту (не включая проценты по договору займа между Заявителем и Фондом, а также по договорам по привлечению финансирования), в которую включаются планируемые инвестиции в проект в номинальных ценах (с учетом прогнозной инфляции соответствующих затрат) и инвестиции, осуществленные в проект не ранее 2 (двух) лет, предшествующих дате подачи Заявки (исходя из фактической величины понесенных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и документально подтвержденных затрат), включая затраты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подготовку проекта и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предпроектные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работы (подготовка проектно-сметной документации, получение необходимых согласований и разрешений, проектно-изыскательские работы и т.д.);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проектные работы (строительные, монтажные, пуско-наладочные работы и т.д.);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капитальные вложения (приобретение зданий, сооружений и оборудования и т.д.);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подбор и обучение персонала;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инвестиции и оборотный капитал.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Оправдательные документы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документы, подтверждающие факт совершения хозяйственной операции: договоры и технические задания к ним, акты, счета, счета-фактуры, накладные и т.п.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lastRenderedPageBreak/>
        <w:t>Основные участники проекта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лица, участие которых в рассматриваемом проекте является критичным для его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 или ноу-хау, земельный участок);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лизинговые компании; банки.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Поручитель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физическое или юридическое лицо, обязавшееся перед Фондом отвечать за исполнение Заемщиком его обязательств полностью или в части по договору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Последующий залог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созалогодержатели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созалогодержатели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являются самостоятельными кредиторами.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Проект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– совокупность организационных, технических, финансовых, кадровых мероприятий, имеющих цель в установленные бюджет и сроки создание нового предприятия (производства) и (или) модернизацию как предприятия в целом, так и его одного или нескольких структурных подразделений (филиалов, цехов, производственных участков, отделов и т.д.) для внедрения новых технологий и (или) продукции. 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Смета проекта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расчет (план) предстоящих расходов на осуществление проекта в разрезе направлений целевого использования средств и видов затрат (экономических элементов); является приложением к договору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Субъект инвестиционной деятельности в Чувашской Республике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российское юридическое лицо (индивидуальный предприниматель), осуществляющее инвестиционную деятельность на территории Чувашской Республики.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Счет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банковский счет, открываемый Заемщиком для осуществления расчетов по проекту за счет средств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Техническое задание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основной документ проекта, определяющий порядок и условия работ по проекту, в том числе цель, задачи, принципы, ожидаемые результаты и сроки выполнения работ, порядок приемки работ.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Транш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– часть суммы займа, которая перечисляется заемщику в соответствии с установленным графиком в рамках заключенного договора займа, при этом суммарный объем всех выданных траншей не может превышать общую сумму займа.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Технологическое перевооружение и модернизация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комплекс мероприятий по повышению технологического и (или)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,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более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производительным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Целевой объем продаж новой продукции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стоимость совокупного объема продаж новой продукции (продукции по новой технологии), по которой организовано серийное производство.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lastRenderedPageBreak/>
        <w:t>Учредитель Фонда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</w:t>
      </w:r>
      <w:r>
        <w:rPr>
          <w:rFonts w:ascii="Times New Roman" w:hAnsi="Times New Roman"/>
          <w:sz w:val="26"/>
          <w:szCs w:val="26"/>
        </w:rPr>
        <w:t>Министерство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Экспертный совет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коллегиальный орган управления Фонда, к компетенции которого относится проведение экспертизы проектов в целях предоставления займов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проектов.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Условия и направления предоставления займов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Займы предоставляются на реализацию проектов, предусматривающих создание и модернизацию тепличных комплексов, пунктов по приемке, первичной переработке сельскохозяйственных животных и молока (включая холодильную обработку и хранение мясной и молочной продукции), комбикормовых предприятий и цехов, предприятий по производству пищевых продуктов и напитков, в рамках отраслевых направлений экономической деятельности, в соответствии с приложением № 1 к настоящему Порядку.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2.2. Заем может быть направлен на реализацию следующих мероприятий: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-  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строительство (реконструкция) или капитальный ремонт зданий, сооружений, коммуникаций для организации производства (при наличии положительного заключения государственной экспертизы на проектную документацию, выданное уполномоченным на проведение государственной экспертизы проектной документации и результатов инженерных изысканий государственным учреждением Чувашской Республики, подведомственным Министерству строительства, архитектуры и жилищно-коммунального хозяйства Чувашской Республики и разрешения на строительство объекта);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- приобретение в собственность (за исключением приобретения промышленного оборудования по договорам финансовой аренды и лизинга) российского и (или) импортного промышленного оборудования, а также его монтаж, наладка и иные мероприятия по его подготовке для серийного производства.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2.3.</w:t>
      </w:r>
      <w:r>
        <w:rPr>
          <w:rFonts w:ascii="Times New Roman" w:eastAsia="SimSun" w:hAnsi="Times New Roman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Размер займа составляет от 25,0 млн. рублей до 500,0 млн. рублей.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2.4. Средства займа могут быть предоставлены траншами в соответствии с установленным графиком.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2.5.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Срок займа составляет не более 5 (пяти) лет.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2.6.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Общий бюджет проекта составляет не менее 50,0 млн. рублей.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2.7. Процентная ставка по займу составляет 3%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годовых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. По решению Экспертного совета процентная ставка может быть изменена.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При условии предоставления на всю сумму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региональных фондов содействия кредитованию МСП, соответствующих требованиям настоящего порядка, процентная ставка по займу может быть установлена на 2 (два) процентных пункта ниже, чем указана в настоящем пункте. 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Снижение процентной ставки на 2 (два) процентных пункта на ранее профинансированные проекты распространяется только при условии замены ранее предоставленного обеспечения на всю сумму займа и на весь оставшийся срок займа на независимые гарантии кредитных организаций и/или гарантии и поручительства АО «Федеральная корпорация по развитию малого и среднего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предпринимательства», региональных фондов содействия кредитованию МСП, соответствующие требованиям настоящего порядка.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 этом случае указанная ставка применяется с момента замены обеспечения.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2.8.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за счет средств Заявителя, привлеченных средств или сре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дств кр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едитных организаций должно составлять не менее 50% общего бюджета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При расчете объема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за счет средств Заявителя, привлеченных средств или сре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дств кр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едитных организаций: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могут быть учтены инвестиции, осуществленные в проект не ранее 2 (двух) лет, предшествующих дате подачи Заявки, при условии документального подтверждения понесенных затрат до вынесения проекта на рассмотрение Экспертного совета Фонда;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учитываются инвестиции, осуществляемые (осуществленные) за счет средств, выделяемых напрямую для поддержки проектов из соответствующего бюджета бюджетной системы Российской Федерации;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учитываются доходы в виде денежного потока, генерируемого проектом.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2.9.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Не менее 15% от суммы займа должно быть профинансировано за счет собственных средств Заявителя (и (или) аффилированных лиц, бенефициаров Заявителя) в следующий период: не ранее 2 (двух) лет до даты подачи Заявки и не позднее 6 (шести) месяцев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 даты заключения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договора Займа.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2.10.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Фонда с проведением повторной производственно-технологической и финансово-экономической экспертиз. 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2.11.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Оплата приобретаемых товаров (работ, услуг) за счет средств Займа ключевым исполнителям, не раскрытым на момент принятия Фондом решения 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проекта, возможна при условии получения согласования платежа со стороны Фонда с обязательным проведением дополнительной юридической экспертизы и соответствия ключевого исполнителя требованиям, указанным в пункте 3.2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2.12.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Заем может быть использован исключительно на цели проекта и расходоваться на приобретение товаров, выполнение работ, оказание услуг, а также на общехозяйственные расходы по проекту в соответствии с абзацами 7-14 пункта 2.2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Средства Займа не могут быть направлены на реализацию следующих мероприятий: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приобретение сырья и ресурсов для выпуска партий продукции, изготовляемой в ходе действующего технологического процесса;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настоящим Порядком;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уплата процентов по заемным средствам, в том числе по Займу, предоставленному Фондом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проекта.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Требования к Заявителю и основным участникам проекта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3.1.</w:t>
      </w:r>
      <w:r>
        <w:rPr>
          <w:lang w:val="en-US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Заявитель должен соответствовать следующим требованиям: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являться юридическим лицом – коммерческой организацией или индивидуальным предпринимателем, осуществляющим инвестиционную деятельность на территории Чувашской Республики, разработавшим проект в рамках отраслевых направлений экономической деятельности в соответствии с пунктом 1.1 настоящего Порядка, получение займов для которого не запрещено законодательством Российской Федерации или уставом Заявителя;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являться резидентом Российской Федерации в соответствии с законодательством Российской Федерации о валютном регулировании и валютном контроле;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иметь прямого преобладающего участия в своем уставном капитале 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Федерации, а также иностранные лица не должны иметь возможность определять решения, принимаемые таким обществом в соответствии с заключенным между ними договором;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бенефициарный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раскрыть состав участников (акционеров), предоставить список аффилированных лиц и сведения о конечных бенефициарах на момент подачи заявки;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не должен находиться в процессе реорганизации (за исключением реорганизации в форме преобразования),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заявители-индивидуальные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предприниматели не должны прекратить деятельность в качестве индивидуального предпринимателя на момент подачи заявки и (или) получения займа;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реестре дисквалифицированных лиц отсутствуют сведения о дисквалифицированным руководителе, членах коллегиального исполнительного органа, лице, исполняющем функции единоличного исполнительного органа или главного бухгалтера Заявителя, являющегося юридическим лицом, об индивидуальном предпринимателе - Заявителе.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Лицо, заявленное в проекте как ключевой исполнитель, должно соответствовать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следующим требованиям: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являться резидентом Российской Федерации или иностранным юридическим лицом, не зарегистрированным в низконалоговой юрисдикции;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Компетенции такого лица должны быть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подтверждены предоставленной Заявителем информацией о ранее выполненных аналогичных работах (услугах), произведенной продукции;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реестре дисквалифицированных лиц отсутствуют сведения о дисквалифицированным руководителе, членах коллегиального исполнительного органа, лице, исполняющем функции единоличного исполнительного органа или главного бухгалтера ключевого исполнителя, являющегося юридическим лицом, об индивидуальном предпринимателе - ключевом исполнителе.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Заявитель, его аффилированные лица, задействованные в реализации проекта как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основные участники, не должны иметь: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просроченную задолженность по налогам, сборам и иным обязательным платежам в бюджеты бюджетной системы Российской Федерации;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задолженность по заработной плате перед работниками;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просроченную задолженность перед Фондом;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зафиксированных фактов несвоевременного выполнения в прошлом обязательств перед Фондом, включая обязательств по возврату займа или по предоставлению отчетности о целевом использовании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Предоставление финансирования проектов Заявителям, входящим в одну Группу лиц с заемщиками, имеющими просроченную задолженность перед Фондом по займам, выданным за счет средств соответствующего бюджета бюджетной системы Российской Федерации, осуществляется по решению Наблюдательного совета Фонда.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3.4.</w:t>
      </w:r>
      <w:r>
        <w:rPr>
          <w:lang w:val="en-US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Идентификация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не проводится в отношении лиц, являющихся: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России, либо раскрывающими информацию о владельцах на общедоступных ресурсах на ином основании (Указание Банка России от 28.01.2016 № 3949-У «Об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иностранных эмитентов к организованным торгам, а также условием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непроведения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организациями, осуществляющими операции с денежными средствами или иным имуществом, идентификации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иностранных организаций, чьи ценные бумаги прошли процедуру листинга на таких биржах» (или иные аналогичные указания);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дочерними обществами иностранных структур, организационная форма которых не предусматривает наличия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бенефициарного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3.5.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между Заявителем и Фондом на дату подачи заявки действует договор (договоры) целевого займа,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50% балансовой стоимости активов Заявителя на последнюю отчетную дату.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Наблюдательный совет Фонда определяет предельный размер суммарной доли заимствований, предоставляемых из средств целевого финансирования Фонда заявителям, входящим в одну Группу лиц.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IV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Представление заявки на получение займа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Заявитель, изъявивший желание получить Заем, представляет в Фонд заявочную документацию.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зависимости от этапов прохождения заявки Заявителем представляются документы в соответствии с приложением № 4 к настоящему Порядку (далее – заявочная документация).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Документы в составе заявочной документации должны соответствовать следующим требованиям: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копии документов должны соответствовать оригинальным документам;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копии, предоставляемые на бумажном носителе, должны быть заверены уполномоченным должностным лицом Заявителя, прошиты и скреплены печатью (при наличии печати);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текст и изображения должны быть разборчивы, не содержать исправлений и дефектов, не позволяющих однозначно трактовать содержание документов.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4.4.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Заявка подлежит регистрации с присвоением регистрационного номера и занесением в реестр проектов в течение 1 (одного) дня со дня представления Заявки.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Уведомление о принятии Заявки к рассмотрению и присвоенном регистрационном номере сообщается Заявителю в течение 2 (двух) дней со дня представления документов.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4.5.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Документы, поданные в составе Заявки, Заявителю не возвращаются вне зависимости от результатов экспертизы.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4.6.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Заявитель гарантирует полноту и достоверность всей представленной информации и несет ответственность за ее умышленное искажение либо предоставление заведомо недостоверной информации в соответствии с законодательством Российской Федерации.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4.7.</w:t>
      </w:r>
      <w:r>
        <w:rPr>
          <w:lang w:val="en-US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между Заявителем и Фондом заключены договоры целевого займа по ранее одобренным проектам или такой договор находится в процессе заключения, то Заявка на предоставление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по новому проекту принимается Фондом к рассмотрению по истечении 2 (двух) отчетных периодов (кварталов) с даты заключения такого договора целевого займа при соблюдении условий, установленных в пункте 3.5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4.8.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Сотрудникам Фонда запрещается корректировать за Заявителя состав и содержание комплекта документов в составе Заявки, параметры и документацию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4.9.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Уполномоченное должностное лицо Фонда в течение 2 (двух) дней со дня регистрации Заявки направляет запросы в органы исполнительной власти Чувашской Республики, предоставляющие государственную поддержку по отраслевым направлениям, приведенным в приложении № 1 к настоящему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Порядку, в целях получения сведений о предоставленной государственной поддержке в отношении проекта Заявителя.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Отбор и экспертиза проектов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Отбор проектов, представленных Заявителями, осуществляется по результатам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экспертизы проектов, включающей в себя следующие этапы: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экспресс-оценка Заявки;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входная экспертиза Заявки;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комплексная экспертиза Заявки.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5.1.1.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На этапе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экспресс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уполномоченным лицом Фонда проводится предварительная проверка соответствия проекта и Заявителя установленным настоящим Порядком условиям предоставления займа на основании анализа резюме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Срок проведения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не может превышать 5 (пяти) дней.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 результатам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делается предварительный вывод о соответствии проекта основным условиям предоставления займа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проекта, и уполномоченное лицо Фонда принимает одно из следующих решений: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1)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направить Заявку на прохождение этапа входной экспертизы. В этом случае Заявителю направляется письмо с указанием перечня документов, необходимых для прохождения этапа входной экспертизы;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2)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отклонить Заявку и направить Заявителю письмо с указанием несоответствия резюме проекта критериям и условиям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проектов, установленным настоящим Порядком.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Отклонение Заявки (резюме проекта) на этапе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не лишает Заявителя возможности повторного обращения за получением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после устранения недостатков.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Для проведения входной экспертизы Заявитель представляет уполномоченному лицу Фонда документы в соответствии с приложением № 4 к настоящему Порядку.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Входная экспертиза проводится уполномоченным лицом Фонда. Срок входной экспертизы не может превышать 5 (пяти) дней по полному комплекту документов, а по отдельно (дополнительно) предоставляемым документам – 2 (двух) дней.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Документы Заявки проверяются на предмет их комплектности и соответствия требованиям настоящего Порядка.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Каждый документ, представленный для прохождения входной экспертизы, согласовывается уполномоченным лицом Фонда на предмет его соответствия требованиям настоящего Порядка путем предоставления акцепта.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получения акцепта по всем документам, представленным для прохождения входной экспертизы, уполномоченное лицо Фонда направляет Заявителю уведомление о прохождении этапа входной экспертизы с указанием назначенного Менеджера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В случае отказа в акцептовании одного или нескольких документов, необходимых для проведения комплексной экспертизы, уполномоченное лицо Фонда сообщает Заявителю соответствующую информацию с указанием перечня таких документов. Проект направляется на доработку по результатам входной экспертизы и работы по нему приостанавливаются.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Работа по проекту прекращается в том случае, если Заявителем по представленной им Заявке не устранены недостатки, не представлены документы, не актуализировалась информация более 4 (четырех) месяцев.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Комплексная экспертиза проекта и документов, представленных Заявителем, проводится в целях определения возможности и условий предоставления Фондом займа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Сопровождает Заявку и организует комплексную экспертизу назначенный уполномоченным должностным лицом Фонда Менеджер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Комплексная экспертиза проводится по следующим направлениям: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производственно-технологическая экспертиза;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финансово-экономическая экспертиза;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правовая экспертиза.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1) Производственно-технологическая экспертиза осуществляется по следующим параметрам: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наличие производственных активов на территории Российской Федерации для внедрения результатов или наличие соответствующих мероприятий по созданию активов и бюджета в бизнес-плане;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отсутствие критической зависимости проекта от импортного сырья или </w:t>
      </w:r>
      <w:proofErr w:type="gram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комплектующих</w:t>
      </w:r>
      <w:proofErr w:type="gramEnd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соответствие проекта основной деятельности компании и ее </w:t>
      </w:r>
      <w:proofErr w:type="gram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бизнес-стратегии</w:t>
      </w:r>
      <w:proofErr w:type="gramEnd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, стратегическая важность проекта для компании, заинтересованность компании в его реализации;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наличие материально-технической базы для выполнения разработки у Заявителя;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обоснованность графика и сроков мероприятий разработки нового продукта;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обоснованность бюджета на разработку нового продукта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, включая обоснованность привлечения заявленных ключевых исполнителей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наличие необходимых для разработки компетенций, профессиональная репутация проектной команды Заявителя;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техническая реализуемость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Также осуществляется экспертиза соответствия проекта одному или нескольким из следующих параметров: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наличие рынка для продукта и его положительная динамика развития;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сбыт выпускаемой продукции направлен на замещение импорта на внутреннем рынке, в том числе отнесение продукта к категории </w:t>
      </w:r>
      <w:proofErr w:type="gram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импортозамещающих</w:t>
      </w:r>
      <w:proofErr w:type="gramEnd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согласно отраслевым планам, утверждаемым федеральным органом исполнительной власти, уполномоченным Правительством Российской Федерации;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сбыт выпускаемой продукции ориентирован на экспорт.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lastRenderedPageBreak/>
        <w:t xml:space="preserve">Проведение производственно-технологической экспертизы организует либо осуществляет Менеджер проекта. Менеджер проекта вправе привлечь к участию в проведении производственно-технологической экспертизы внешние экспертные и инжиниринговые организации, центры кластерного развития, специалистов в области производства и экспертной деятельности.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С экспертами заключается соглашение о взаимодействии. 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Менеджер проекта доводит до Заявителя полный перечень лиц, осуществляющих производственно-технологическую экспертизу, их контакты и список документов, необходимых для проведения экспертизы.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Оплата производственно-технологической экспертизы осуществляется Заявителем за счет собственных средств.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Менеджер проекта в течение 3 (трех) дней с момента получения от Заявителя информационного письма о выборе экспертной организации </w:t>
      </w:r>
      <w:proofErr w:type="gram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и(</w:t>
      </w:r>
      <w:proofErr w:type="gramEnd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или) заключении договора для осуществления производственно-технологической экспертизы формирует и направляет для экспертизы информационный пакет, включающий бизнес-план проекта, а также иные документы для изучения производственно-технологического содержания проекта.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По итогам производственно-технологической экспертизы формируется заключение, подписываемое лицом, проводившим экспертизу, и (или) руководителем экспертной организации и направляется в адрес Фонда Менеджеру проекта.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2) Финансово-экономическая экспертиза осуществляется по следующим параметрам: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обоснованность и достаточность планируемых финансовых ресурсов для реализации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наличие в полном объеме необходимых финансовых ресурсов Заявителя для реализации всего проекта с учетом суммы займа и обоснования объемов </w:t>
      </w:r>
      <w:proofErr w:type="spell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со стороны третьих лиц;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наличие в полном объеме необходимых финансовых ресурсов, достаточных для обслуживания и погашения займа Фонда Заявителем, в том числе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сумма чистого дисконтированного денежного потока, генерируемого проектом (</w:t>
      </w:r>
      <w:proofErr w:type="spell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net</w:t>
      </w:r>
      <w:proofErr w:type="spellEnd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present</w:t>
      </w:r>
      <w:proofErr w:type="spellEnd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value</w:t>
      </w:r>
      <w:proofErr w:type="spellEnd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, NPV), положительна;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бизнес-план содержит необходимую информацию с обоснованными оценками параметров, критических для достижения целей проекта, и не содержит внутренних противоречий;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текущее и прогнозируемое на срок займа финансовое положение Заявителя устойчиво с точки зрения достаточности активов и денежных потоков.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Проведение финансово-экономической экспертизы осуществляет Менеджер проекта. Для рассмотрения отдельных вопросов Фондом может привлекаться независимая экспертиза (экспертные и консультационные организации).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Проведение финансово-экономической экспертизы включает анализ бизнес-плана, календарного плана проекта, финансовой модели, обеспечения возврата средств Займа и бухгалтерской отчетности.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lastRenderedPageBreak/>
        <w:t>Экспертиза обеспечения возврата средств Займа осуществляется путем анализа качества и достаточности предлагаемого Обеспечения или финансового состояния лица, предоставляющего Обеспечение.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При необходимости Менеджер проекта запрашивает дополнительные документы от Заявителя.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По итогам финансово-экономической экспертизы формируется заключение, подписываемое лицом, проводившим экспертизу и руководителем Фонда.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3) Правовая экспертиза осуществляется по следующим параметрам: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соответствие учредительных документов Заявителя, лиц, предоставивших обеспечение, законодательству Российской Федерации;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соответствие схемы предполагаемых сделок по проекту законодательству Российской Федерации,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бенефициарным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владельцам;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установление состава участников (акционеров) и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владельцев Заявителя, состава участников (акционеров) лиц, предоставивших обеспечение;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10% от стоимости балансовых активов Заявителя (лиц, предоставивших обеспечение);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 (поручительства), а также третьих лиц, предоставивших в залог имущество);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Проведение правовой экспертизы организует Менеджер проекта и/или юрист Фонда. Для рассмотрения отдельных вопросов может привлекаться независимая экспертиза (внешние экспертные и консультационные организации).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По итогам правовой экспертизы формируется заключение, подписываемое лицом, проводившим экспертизу и руководителем Фонда.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5.1.3.3.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Для проведения комплексной экспертизы Заявитель представляет Менеджеру проекта документы в соответствии с приложением №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к настоящему Порядку.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5.1.3.4.</w:t>
      </w:r>
      <w:r>
        <w:rPr>
          <w:rFonts w:ascii="Times New Roman" w:eastAsia="SimSun" w:hAnsi="Times New Roman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Общий срок проведения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комплексной экспертизы не должен превышать 40 (сорока) дней с момента принятия решения о назначении комплексной экспертизы.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направления проекта на доработку по итогам комплексной экспертизы срок проведения комплексной экспертизы Фондом приостанавливается и возобновляется после устранения Заявителем замечаний по материалам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5.1.3.5.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Фонд вправе привлекать внешние организации, осуществляющие экспертизу, за счет средств Заявителя для проведения независимой экспертизы, в том числе и в тех случаях, когда Заявитель уже привлекал внешние организации, осуществляющие экспертизу, и представил соответствующее заключение. Персональные данные экспертов, рецензирующих поданные проекты, носят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конфиденциальный характер и Заявителям, равно как и другим лицам, не сообщаются.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Внешние организации, осуществляющие экспертизу, для проведения независимой экспертизы привлекаются в случае, если для проведения экспертизы необходимо осуществление исследований, испытаний, а также в случае, когда в отношении лиц, осуществляющих выполнение работ и оказание услуг, установлены обязательные требования (аккредитация, лицензирование, членство в саморегулируемых организациях).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5.1.3.6.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имеет право запрашивать у Заявителя комментарии, пояснения, а также дополнительные документы, необходимые для проведения экспертизы по проекту.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Заявитель не предоставил в течение 30 (тридцати) дней запрошенные документы, Менеджер проекта вправе приостановить работу по проекту и прекратить комплексную экспертизу по проекту.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5.1.3.7.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Комплексная экспертиза может быть прекращена до ее полного завершения в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случае выявления любого из следующих обстоятельств: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несоответствие проекта критериям отбора проектов для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по какому-либо из параметров, определенным настоящим Порядком;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критических замечаний по проекту, которые не могут быть устранены в сроки, предусмотренные для проведения комплексной экспертизы;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факт предоставления недостоверной информации.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случае прекращения комплексной экспертизы по указанным основаниям работа по проекту прекращается.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Уведомление о досрочном прекращении комплексной экспертизы направляется Заявителю в течение одного дня.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5.1.3.8.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Повторная экспертиза проектов проводится Фондом в следующих случаях: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подача Заявителем запроса об изменении условий предоставления займа в целях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повторное обращение Заявителя за получением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по проекту в случаях, если ранее имело место приостановление работы по проекту.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5.1.3.9. Если работа по проекту была приостановлена на срок более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/>
        <w:t xml:space="preserve">4 (четырех) месяцев в связи с направлением проекта на доработку по итогам комплексной экспертизы, и в этот период Заявителем не устранялись недостатки, выявленные Фондом, не представлялись документы по запросам Фонда, не актуализировалась информация, Фонд вправе прекратить работу по такому проекту.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5.1.3.10.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После окончания комплексной экспертизы Менеджер проекта,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проекта Фондом и направляет их заявителю.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5.2.</w:t>
      </w:r>
      <w:r>
        <w:rPr>
          <w:lang w:val="en-US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случае привлечения для реализации проекта ключевого исполнителя Фонд осуществляет оценку его соответствия следующим параметрам: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производственных активов и материально-технической базы у ключевого исполнителя;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соответствие выполняемых работ по проекту основной деятельности компании;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обоснованность общего бюджета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необходимых для разработки компетенций, профессиональная репутация ключевого исполнителя;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соответствие учредительных документов ключевого исполнителя законодательству Российской Федерации и деятельности по проекту;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раскрытие состава участников (акционеров) в объеме контрольного пакета акций (долей) и предоставление информации о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владельцах ключевого исполнителя;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отсутствие процедуры банкротства, ликвидации ключевого исполнителя;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соответствие схемы предполагаемых сделок с Заявителем по проекту законодательству Российской Федерации,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бенефициарным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владельцам.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5.3. Идентификация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не проводится в отношении лиц, являющихся: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50 % акций (долей) в капитале;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России, в соответствии с Указанием Банка России от 28.01.2016 № 3949-У «Об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непроведения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организациями, осуществляющими операции с денежными средствами или иным имуществом, идентификации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иностранных организаций, чьи ценные бумаги прошли процедуру листинга на таких биржах», либо раскрывающими информацию о владельцах на общедоступных ресурсах на ином основании;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дочерними обществами иностранных структур, организационная форма которых не предусматривает наличия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бенефициарного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 ноября 2007 № 108н, или иной аналогичный документ, действующий на дату проведения экспертизы.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избежании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двойного налогообложения.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Принятие решения об одобрении предоставления займа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 итогам проведения всех направлений комплексной экспертизы проекта Менеджер проекта выносит проект и рекомендации по условиям участия Фонда в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на рассмотрение Экспертного совета.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Порядок созыва, проведения и принятия решений Экспертным советом регламентируется уставом Фонда и Положением об Экспертном совете.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Для рассмотрения проекта на Экспертном совете Менеджер проекта готовит презентацию, содержащую: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основную информацию по проекту, отражающую его производственно-технологическую составляющую, экономическую эффективность разрабатываемого продукта или технологии;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основные характеристики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заключения по итогам проведенных экспертиз;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схему участия Фонда в проекте.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Для подтверждения и конкретизации информации презентации Менеджером проекта также представляются дополнительные документы Экспертному совету: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бизнес-план;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резюме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техническое задание;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календарный план;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смета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финансовая модель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результаты комплексной экспертизы;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бухгалтерская отчетность;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заявление об обеспечении;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отчет оценочной компании об определении оценочной (рыночной) стоимости залога в случаях, когда предоставление такой оценки предусмотрено настоящим Порядком;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письма поддержки.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6.4.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Экспертный совет может принять решение: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об одобрении предоставления займа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об отказе в предоставлении займа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 отложении принятия решения по проекту до получения дополнительной информации или устранения выявленных недостатков.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Указанные решения могут сопровождаться отлагательными условиями предоставления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Решение оформляется протоколом заседания Экспертного совета.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6.5.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Менеджер проекта направляет Заявителю выписку из протокола заседания Экспертного совета, содержащего принятое решение, на следующий рабочий день после его подписания.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6.6.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На основании утвержденного протокола заседания Экспертного совета, содержащего решение об одобрении предоставления займа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проекта, Менеджер проекта направляет Заявителю письмо о положительном решении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с указанием параметров предоставляемого Займа: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цель займа;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размер займа;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срок предоставления займа;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процентная ставка;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график использования и возврата займа;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отлагательные условия предоставления займа, дополнительные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неустойки, штрафы, пени;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обеспечение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6.7.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после получения выписки из протокола, указанной в пункте 6.5 настоящего Порядка, а по сделкам, требующим корпоративного одобрения органами Заявителя – не позднее 3 (трех) месяцев.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Заявитель не подписал договор целевого займа и иные договоры, обеспечивающие возврат займа, в указанные сроки, то работа по проекту приостанавливается.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1" w:name="_Hlk17813722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6.8. После подписания договора займа и иных договоров, обеспечивающих возврат займа, Фонд готовит платежный документ на перечисление денежных средств (в том числе транша) на расчетный счет Заемщика.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Заемщик обязуется осуществить действия по государственной регистрации и учету заложенного по Договору имущества в сроки, установленные договорами, обеспечивающими исполнение обязательств по Договору (срок регистрации права залога недвижимого имущества - 30 (тридцать) рабочих дней с даты заключения договора ипотеки, срок регистрации в реестре уведомлений о залоге движимого имущества и предоставление Свидетельства и/или выписки из реестра уведомлений о залоге - в течение 30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(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тридцати) календарных дней с даты заключения договора залога). </w:t>
      </w:r>
      <w:proofErr w:type="gramEnd"/>
    </w:p>
    <w:bookmarkEnd w:id="1"/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6.9. Информация о проектах, получивших финансовую поддержку, размещается на официальном сайте Фонда в информационно-телекоммуникационной сети «Интернет».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6.10. Вопросы реализации информационной политики, а также политики соблюдения конфиденциальности и раскрытия информации о проектах регулируются локальным актом Фонда, перечнем сведений ограниченного распространения, соглашениями о конфиденциальности.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Не может быть отнесена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конфиденциальной следующая информация о проекте: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общий размер инвестиций в проект;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сумма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,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предоставляемого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Фондом;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количество и качество планируемых к созданию и созданных рабочих мест;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сумма ожидаемых поступлений в бюджеты бюджетной системы Российской Федерации;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информация о производимой в ходе реализации проекта продукции, указанная в заявочной документации и отчетности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календарный план.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6.11.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случае принятия Экспертным советом решения об отложении принятия решения по проекту до получения дополнительной информации (устранения выявленных недостатков), Заявитель вправе предоставить дополнительную информацию и (или) устранить выявленные недостатки, после чего проект может быть вынесен на Экспертный совет повторно.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не предоставления Заявителем дополнительной информации (устранения выявленных недостатков в определенные Экспертным советом сроки), работа по проекту приостанавливается.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6.12.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Приостановление работы по проекту не лишает Заявителя права на повторное обращение за получением займа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данного проекта с проведением повторной комплексной экспертизы и повторным вынесением на рассмотрение Экспертным советом.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вправе прекратить работу по проекту, в случае если работа по нему была приостановлена на срок более 4 (четырех) месяцев.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Инструменты финансирования и контроль расходования средств займа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со стороны Фонда осуществляется путем предоставления целевого займа на условиях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возмездности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и возвратности.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Процентная ставка по предоставляемым целевым займам устанавливается в размере, указанном в пункте 2.7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 (далее – Счет).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Платежи с указанных счетов осуществляются Заявителем только по согласованию с Фондом в порядке, установленном соответствующими договорами.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7.4.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7.5. Заявитель вправе заключить с кредитной организацией, открывшей Счет,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7.6.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Погашение основного долга по займу осуществляется Заявителем равными ежеквартальными платежами в течение последних двух лет срока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Проценты по займу уплачиваются Заявителем ежеквартально, начиная с первого квартала после выдачи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Иной порядок погашения суммы займа и процентов может быть установлен Экспертным советом с учетом особенностей реализации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7.7.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– не позднее даты досрочного погашения.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7.8.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Заявитель имеет право досрочно погасить заем полностью или частично в любой момент времени.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7.9.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вправе потребовать уплатить вместо процентов, указанных в пункте 2.7 настоящего Порядка, проценты за пользование суммой займа (или его части, соответственно) в размере двукратной ключевой ставки Центрального банка Российской Федерации,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(или его части).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Расчёт процентов по займу ведется с учетом изменений размера ключевой ставки Центрального банка Российской Федерации, фактически действовавшей в течение периода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 даты выдачи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7.10.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Заявитель несет ответственность за неисполнение или ненадлежащее исполнение предусмотренных договором займа обязательств, включая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следующие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: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за неисполнение или ненадлежащее исполнение обязательств по возврату основного долга и (или) уплате процентов за пользование займом - пени в размере 0,1% от несвоевременно уплаченной суммы за каждый день просрочки;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- пени в размере 0,001% от суммы Займа за каждый день просрочки;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случае нарушения Заявителем предусмотренного договором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займа срока регистрации права залога/учета прав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на заложенное имущество (если иное предоставленное Заявителем основное обеспечение не соответствует требованиям достаточности) - пени в размере 0,001% от суммы Займа за каждый день просрочки.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7.11.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Условиями предоставления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является согласие Заявителя: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представлять отчеты о ходе реализации проекта и достижении целевых показателей эффективности использования займа по формам, установленным Фондом;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обеспечить возможность контроля Фондом действий самого Заявителя и основных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7.12. Контроль расходования средств займа осуществляется при согласовании Фондом платежей Заемщика со Счета.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7.13. Для получения акцепта Фонда Заемщик в соответствии с порядком документооборота, определенном договором займа, предоставляет в Фонд платежное поручение и оправдательные документы к нему.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7.14. Фонд вправе запрашивать у Заемщика документы, подтверждающие рыночное (конкурентное) ценообразование при осуществлении закупки, и обоснование выбора поставщика (исполнителя). Состав таких документов определяется договором займа. При выполнении работ, требующих наличия специальных полномочий (разрешения, лицензии, членство в саморегулируемых организациях и т.д.), Заемщик предоставляет Фонду также документы, подтверждающие наличие у поставщика (исполнителя) соответствующей правоспособности. Дополнительно Фонд может запросить у Заемщика подтверждение профессиональных компетенций поставщика (исполнителя, подрядчика) при отсутствии соответствующей информации в общедоступных источниках.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7.15. Акцепт операции по расходованию средств займа производится Фондом после рассмотрения предоставленных Заемщиком документов в соответствии с пунктами 7.13. и 7.14 настоящего Порядка на предмет их соответствия законодательству Российской Федерации, настоящему Порядку и договору займа, в том числе смете проекта, календарному плану и, при необходимости, техническому заданию проекта. Фонд принимает решение об акцепте в течение 1 (одного) дня со дня предоставления Заемщиком полного комплекта подтверждающих документов. Порядок акцепта платежей Фондом регламентируется договором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7.16.</w:t>
      </w:r>
      <w:r>
        <w:rPr>
          <w:lang w:val="en-US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Фонд вправе отказать в акцепте платежа в следующих случаях: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Заемщиком не соблюден порядок документооборота, не предоставлен полный комплект оправдательных документов и (или) не соблюдены требования к их оформлению, предусмотренные договором займа;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характер операции по расходованию средств займа противоречит законодательству Российской Федерации и (или) настоящему Порядку;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операция по расходованию средств займа не соответствует смете проекта и (или) не предусмотрена соответствующим этапом календарного плана;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объект, закупку которого предполагается осуществить за счет средств займа, имеет излишние (необоснованные) потребительские характеристики с элементами роскоши;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подтверждено рыночное ценообразование при осуществлении закупки и (или) обоснованность выбора поставщиков товаров (работ, услуг);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характер операции по расходованию средств займа не соответствует параметрам и характеристикам проекта, согласованным сторонами и приведенным в техническом задании и (или) в описывающих проект документах, представленных Заемщиком в Фонд на этапе рассмотрения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7.17.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Отказ в акцепте платежа не может являться основанием для предъявления Заемщиком Фонду претензий в части компенсации штрафных санкций со стороны контрагента, а также для нарушения Заемщиком сроков реализации проекта и (или)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недостижения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целевых показателей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7.18.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В случае списания банком, в котором Заемщиком открыт Счет, денежных средств со Счета без поручения Заемщика, например, по исполнительным документам, Заемщик должен незамедлительно известить об этом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Фонд и в течение 3 (трех) дней возместить на Счет израсходованные нецелевым образом средства. Если средства в установленный срок не возмещены, Фонд имеет право приостановить акцепт операций по расходованию средств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7.19.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Фонд также вправе приостановить акцепт операций по расходованию средств займа в случае нарушения Заемщиком обязанностей по договору займа (в том числе сроков уплаты процентов, предоставления отчетности и (или) запрошенных Фондом документов) до устранения допущенных нарушений.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7.20.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Контроль использования средств займа осуществляется Фондом на основании документов, предоставляемых Заемщиком в составе Квартального отчета, а также в ходе Контрольных мероприятий, проводимых у Заемщика. При проведении Контрольных мероприятий осуществляется проверка фактического наличия оборудования и фактического выполнения работ (оказания услуг), закупка которых осуществлена за счет средств займа, а также документальная проверка объема вложенных Заемщиком в проект средств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, предусмотренных договором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VIII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используемого Фондом обеспечения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Обеспечение, принимаемое Фондом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проектам, оценивается на предмет достаточности и качества.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Качество обеспечения определяется Менеджером проекта вероятностью получения денежных сре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дств в р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азмере залоговой стоимости при обращении взыскания на предмет залога и (или) его реализации. При оценке качества обеспечения учитываются ликвидность обеспечения (определяется в зависимости от прогнозируемого срока реализации актива на свободном рынке по рыночной стоимости), отсутствие (наличие) обременений, состояние активов, их сохранность, значимость активов для бизнеса Заемщика (Залогодателя), возможность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залогом со стороны Фонда.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 результатам произведенной Менеджером проекта оценки качества обеспечение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Фондом проектам может быть отнесено к основному обеспечению или дополнительному обеспечению.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8.3.1.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Основное обеспечение учитывается при оценке достаточности обеспечения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Фондом проектам.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Имущество, принимаемое Фондом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проектам в качестве основного обеспечения – залога, должно относиться к одной из следующих категорий: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ликвидным активам: активы, на которые Фонд может обратить взыскание в приемлемые сроки (срок реализации составляет менее 365 календарных дней, а для обращающихся ценных бумаг – не более 20 дней);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значимым активам: профильные ключевые активы Заемщика (Залогодателя), изъятие которых приведет к прекращению его деятельности или деятельности независимых бизнес-единиц, приносящих доход; профильные не ключевые активы производственного назначения, участвующие в формировании существенной доли в общем объеме получаемого дохода, либо используемые в деятельности, от которой в будущем ожидается получение дохода; непрофильные активы, являющиеся автономными структурными единицами, способными самостоятельно приносить доход;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для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Залогодателей-физических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лиц значимыми могут быть признаны активы в виде жилой недвижимости и автотранспорта.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Виды и требования к качеству основного обеспечения, принимаемого Фондом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проектам, приведены в приложении №  5 к настоящему Порядку.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 (отсутствие) между ними технологических, организационных, экономических, производственных и иных взаимосвязей с точки зрения общего назначения и реализации определенных целей (активы, составляющие имущественные комплексы, а также ключевые активы, составляющие большую часть имущественных комплексов или его автономную часть).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8.3.2.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Дополнительное обеспечение используется в целях усиления структуры сделки с точки зрения возможности реализации основного обеспечения, влияния на бизнес Заемщиков (Залогодателей, Поручителей), повышения ответственности и заинтересованности собственников и (или) конечных бенефициаров в реализации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Виды дополнительного обеспечения, принимаемого Фондом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проектам, приведены в приложении № 6 к настоящему Порядку.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8.4.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Виды основного обеспечения могут быть приняты и в качестве дополнительного обеспечения. Виды дополнительного обеспечения не подлежат принятию в качестве основного обеспечения.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8.5.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рассмотрении возможности принятия в качестве обеспечения имущества, учитываются запреты (ограничения) на совершение сделок залога с отдельными видами имущества.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Виды имущества, не принимаемого Фондом в качестве обеспечения, приведены в приложении № 8 7 к настоящему Порядку.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не принимает в качестве обеспечения охраняемые результаты интеллектуальной деятельности и приравненные к ним средства индивидуализации (интеллектуальную собственность).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не принимает в качестве обеспечения в залог имущество, находящееся за пределами Российской Федерации.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8.6. Принимаемое в залог имущество не должно находиться под арестом и (или) обременением.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8.7.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Последующий залог (имущество, обремененное залогом третьих лиц) допускается в качестве Дополнительного обеспечения.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Не допускается передача в последующий залог третьим лицам имущества, принятого Фондом в качестве Основного обеспечения, за исключением передачи в последующий залог имущества, принятого Фондом в качестве Основного обеспечения, если последующими залогодержателями выступают институты развития, осуществляющие совместно с Фондом финансирование проекта и/или предоставляющие обеспечение, указанные в приложении № 9 к настоящему Порядку.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8.8.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На момент выдачи займа (принятия решения 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проекта) обеспечение признается достаточным, если залоговая стоимость и (или) объем гарантированных обязательств по независимой гарантии (поручительству),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принимаемой в качестве основного обеспечения, равна или превышает размер основного долга и подлежащих уплате за все время пользования займом процентов.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Основное обеспечение должно соответствовать требованию достаточности в течение всего срока действия договора займа и превышать размер оставшихся обязательств Заявителя по возврату основного долга и подлежащих уплате за пользование займом процентов.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2" w:name="_Hlk17813749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8.8.1. 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принятия решения экспертным советом о выдаче займа траншами, обеспечение на каждом этапе выдачи транша признается достаточным, если залоговая стоимость и (или) объем гарантированных обязательств по независимой гарантии (поручительству), принимаемой в качестве Основного обеспечения, равна или превышает суммарный размер ранее выданных траншей и планируемого к выдаче транша в соответствии с установленным графиком, а также процентов, подлежащих уплате за все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время пользования данными траншами.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Размер одного транша не может быть меньше минимального размера займа, установленного пунктом 2.4 настоящего порядка.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Предоставление очередного транша в соответствии с установленным графиком осуществляется только после заключения договоров, обеспечивающих возврат займа. </w:t>
      </w:r>
    </w:p>
    <w:bookmarkEnd w:id="2"/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8.9.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Залоговая стоимость определяется на основании оценочной (рыночной) стоимости с учетом требований пункта 8.2 настоящего Порядка с применением шкалы залоговых дисконтов, приведенной в приложении № 5.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Оценочная (рыночная) стоимость залога определяется на основании отчетов оценочных компаний (без учета суммы НДС), за исключением котируемых ценных бумаг и драгоценных металлов. Рыночная стоимость, определенная в отчете, принимается Фондом для целей совершения сделки в течение 6 (шести) месяцев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 даты составления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отчета.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Оценочная стоимость предлагаемого в залог оборудования, приобретаемого в процессе реализации проекта и оплачиваемого полностью или частично за счет средств, предоставленных Фондом, определяется по цене, указанной в договоре на его приобретение (за вычетом суммы НДС).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Оценка обеспечения и его оформление осуществляются за счет Заемщика, включая расходы по нотариальному заверению, подтверждению подлинности гарантии, векселя, оплате услуг регистратора и т.п.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8.10.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Решение о видах и объеме (изменении вида или объемов) обеспечения, отнесении его к основному и (или) дополнительному по конкретным проектам, предлагаемым к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софинансированию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 принимает Экспертный совет Фонда.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целях обеспечения возврата займа и снижения рисков невозврата займа Фонд в договорах займа устанавливает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 которые могут быть типовыми и дополнительными.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8.12.1.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Типовые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применяются для всех Заемщиков.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качестве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типовых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-оснований для досрочного истребования от Заемщика полного или частичного погашения задолженности по займу, Фонд применяет следующие условия: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неисполнение или ненадлежащее исполнение Заемщиком обязательств перед Фондом по договору займа, в том числе несвоевременное или неполное исполнение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денежных обязательств, несвоевременное предоставление отчетности, предоставление Фонду недостоверной отчетности, использование займа (части займа) не по целевому назначению;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неисполнение Заемщиком более 30 (тридцати) дней любого платежного обязательства по кредитным договорам либо договорам займа Заемщика с третьими лицами;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утрата или ухудшение обеспечения исполнения обязательств по договору или условий такого обеспечения (включая несоответствие требованию о достаточности), в случае, если Заемщик не предоставил иное обеспечение в сроки, установленные настоящим Порядком;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принятие в отношении Заемщика или лица, предоставившего обеспечение исполнения обязательств Заемщика по договору займа (поручителя, гаранта), а также лица, акции (доли) которого приняты в залог Фондом, органом управления такого лица или уполномоченным государственным (муниципальным) органом решения о реорганизации (за исключением реорганизации в форме преобразования, присоединения, слияния);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наличие вступившего в законную силу решения суда первой инстанции о взыскании денежных средств или об истребовании имущества Заемщика, если сумма иска (исков), составляет более 10% балансовой стоимости активов Заемщика на дату вступления решения суда первой инстанции в законную силу;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выявление Фондом факта предоставления Заемщиком недостоверной информации, заявлений или гарантий;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отмена, аннулирование, приостановление или иное ограничение в действии какого-либо разрешения или лицензии Заемщика и (или) лица (лиц), предоставившего обеспечение, которое препятствует должному исполнению или делает невозможным исполнение обязательств по возврату займа или реализации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изменение контроля над Заемщиком без согласования с Фондом.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8.12.2.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Дополнительные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- основания для досрочного истребования от Заемщика полного или частичного погашения задолженности по займу, устанавливаются Фондом исходя из особенностей деятельности Заемщика 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софинансируемого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проекта, а также иных факторов.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Решение о составе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дополнительных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принимает Экспертный совет.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сроки, определенные договором займа, Заемщик обязан информировать Фонд об обстоятельствах, имеющих существенное значение для оценки финансово-экономического состояния Заемщика (лица, предоставившего обеспечение по займу), и его способности исполнять обязательства по займу (предоставленному обеспечению):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возникшем в период предоставления займа ограничении прав Заемщика в размере более 5% от суммы займа или балансовых активов Заемщика по распоряжению денежными средствами, находящимися на любом счете Заемщика, в том числе:</w:t>
      </w:r>
    </w:p>
    <w:p w:rsidR="007A1ADF" w:rsidRDefault="007A1ADF" w:rsidP="007A1AD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предъявление требований, помещенных в картотеку «Расчетные документы, не оплаченные в срок»,</w:t>
      </w:r>
    </w:p>
    <w:p w:rsidR="007A1ADF" w:rsidRDefault="007A1ADF" w:rsidP="007A1AD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приостановление операций по счету Заемщика,</w:t>
      </w:r>
    </w:p>
    <w:p w:rsidR="007A1ADF" w:rsidRDefault="007A1ADF" w:rsidP="007A1AD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наложение ареста на денежные средства на счете Заемщика,</w:t>
      </w:r>
    </w:p>
    <w:p w:rsidR="007A1ADF" w:rsidRDefault="007A1ADF" w:rsidP="007A1AD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обращение взыскания на денежные средства на счете Заемщика;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о принятии в отношении Заемщика (лица, предоставившего обеспечение исполнения обязательств Заемщика по договору займа), уполномоченным органом такого лица или уполномоченным государственным (муниципальным) органом решения о ликвидации;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соблюдении условий, установленных в соответствии с приложением №5 к настоящему Порядку и подтверждающих устойчивое финансовое положение лица, предоставившего обеспечение, или лица, акции (доли) или облигации которого предоставлены в обеспечение займа;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неисполнении Заемщиком более 30 календарных дней любого платежного обязательства по кредитным договорам (договорам) займа Заемщика с третьими лицами;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 обстоятельствах и условиях, указанных в решении Экспертного совета.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течение срока действия договора займа Фонд контролирует состояние обеспечения займа, исполнение соответствующих договоров залога, поручительства, гарантии и пр. в соответствии с настоящим Порядком.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утраты (ухудшения) обеспечения Заемщик обязан в течение 10 (десяти) календарных дней с момента такой утраты (ухудшения) предложить иное обеспечение, удовлетворяющее требованиям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Под утратой (ухудшением) обеспечения для целей настоящего Порядка понимается наступление следующих обстоятельств: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гибель (утрата) имущества, предоставленного в залог;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установленное по итогам ежегодного мониторинга снижение рыночной стоимости предмета залога (с учетом применяемых дисконтов) ниже размера текущей задолженности Заемщика;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несоответствие финансового положения юридического лица, предоставившего поручительство (гарантию), по итогам очередного финансового года требованиям, установленным для таких лиц в соответствии с настоящим Порядком;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отзыв лицензии на осуществление банковской деятельности у кредитной организации, предоставившей независимую гарантию, либо введение процедур оздоровления (банкротства);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прекращение биржевого обращения ценных бумаг, предоставленных в залог.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8.14.2.</w:t>
      </w:r>
      <w:r>
        <w:rPr>
          <w:lang w:val="en-US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принимает предложенное Заемщиком взамен утраченного (ухудшившегося) обеспечения новое обеспечение на основании проведенных Фондом экспертиз и оценки, при условии подтверждения его соответствия по заключению требованиям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Срок замены обеспечения (заключения соответствующего договора) не может превышать 60 (шестидесяти) календарных дней с момента утраты/ухудшения обеспечения (без учета времени, необходимого для регистрации залога).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недостижения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сторонами договора займа согласия по факту ухудшения состояния обеспечения Заемщик за свой счет привлекает оценочную компанию для определения рыночной стоимости залога в соответствии с абзацем первым пункта 8.9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8.14.4.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течение срока действия договора займа Заемщик вправе предложить Фонду иное обеспечение, соответствующее требованиям настоящего Порядка, с рассмотрением вопроса о замене обеспечения Экспертным советом Фонда.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Фонд осуществляет экспертизу на соответствие предложенного Заявителем обеспечения возврата займа требованиям настоящего Порядка, предъявляемым к качеству и достаточности обеспечения.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IX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Контроль за исполнением договора займа и обеспечением исполнения обязательств по возврату средств займа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9.1. Фонд осуществляет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возвратностью средств займа с применением инструментов, предусмотренных договором займа, в качестве которых используется: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мониторинг Фондом операций по Счетам Заемщиков;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заранее данный акцепт Заемщика на списание Фондом денежных средств со Счета в случаях, предусмотренных договором займа;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предварительный акцепт Фондом любых операций Заемщика по расходованию денежных средств со Счета;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ежеквартальные документальные проверки исполнения Заемщиком сметы проекта на основе информации, предоставленной Заемщиком;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ежеквартальный мониторинг реализации проекта в соответствии с календарным планом и техническим заданием на основе информации, предоставленной Заемщиком;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проведение выездных контрольных мероприятий по месту реализации проекта;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ежеквартальный мониторинг финансового состояния Заемщика;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состояния обеспечения возврата займа, финансового состояния поручителей и залогодателей по займу;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соблюдением Заемщиком сроков перечисления процентов и платежей по погашению основного долга в соответствии с графиком, предусмотренным договором займа, применение штрафных санкций за нарушение платежной дисциплины.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9.1.1. Документы, предоставляемые в составе отчетности Заемщика, предусмотренной договором займа, должны быть прошиты, пронумерованы, подписаны уполномоченным лицом и скреплены печатью Заемщика.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Иная информация для осуществления контрольных процедур может предоставляться Заемщиками в Фонд в электронном виде. Заемщик несет ответственность за соответствие предоставленной в Фонд информации в электронном виде оригиналам первичных документов.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9.1.2.</w:t>
      </w:r>
      <w:r>
        <w:rPr>
          <w:rFonts w:ascii="Times New Roman" w:hAnsi="Times New Roma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Договор займа должен содержать условия, предусматривающие обязательство Заемщика обеспечить возможность контроля использования средств займа и (или) реализации проекта, включая обязанность предоставить Фонду все необходимые первичные, бухгалтерские и отчетные документы, подтверждающие использование займа, и право Фонда направить своих специалистов по местонахождению Заемщика для осуществления проверки.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9.1.3. При обращении Заемщика Фонд может заключать с Заемщиком дополнительные соглашения к договору займа с целью внесения изменений в календарный план, техническое задание и смету проекта, а также договоры обеспечения, если такие изменения не противоречат основным условиям предоставления займа, одобренным Экспертным советом. Для оценки рисков изменений проекта Фонд может проводить дополнительные экспертизы, в том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числе с привлечением независимых экспертов. В случае необходимости внесения изменений в проект, затрагивающих основные условия предоставления займа, вопрос выносится на рассмотрение или на экспертизу Экспертного совета.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</w:t>
      </w:r>
      <w:r>
        <w:rPr>
          <w:rFonts w:ascii="Times New Roman" w:hAnsi="Times New Roman"/>
        </w:rPr>
        <w:t>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реализацией проекта осуществляется Фондом в период, начиная с момента предоставления займа и до момента полного погашения займа, на предмет его соответствия календарному плану и техническому заданию: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 основании представляемых Квартальных отчетов, предусмотренных Договором займа;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ходе контрольного мероприятия, проводимого на территории реализации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выполнения Заемщиком целевых показателей эффективности проекта, установленных договором займа, Фонд осуществляет на основании ежегодно предоставляемого Заемщиком отчета по форме, предусмотренной договором займа, и подтверждающих документов.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9.2.1. В Квартальном отчете Заемщик предоставляет информацию о фактических результатах выполнения работ по проекту (с приложением подтверждающих документов), а в случае отклонений – пояснения о причинах допущенных отклонений и рисках проекта с указанием мер реагирования (способов управления Заемщиком изменениями и рисками проекта), а также сроков устранения нарушений.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9.2.2. 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мероприятия. Полученная информация используется в качестве документальных, материальных и аналитических доказательств, оценивающих ход реализации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 результатам контрольного мероприятия оформляется акт с отражением результатов, выводов и предложений (рекомендаций) в адрес Заемщика.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9.2.3. Завершение реализации проекта оформляется соответствующим актом, который подписывается Заемщиком и Фондом.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9.3. Фонд осуществляет регулярный мониторинг финансового состояния Заемщиков путем контроля наступления событий, перечисленных в договоре займа (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).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устанавливаются в соответствии с пунктом 8.12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9.3.1. Договором займа предусматриваются права Фонда потребовать досрочного погашения займа в случаях нарушения Заемщиком установленных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9.3.2.</w:t>
      </w:r>
      <w: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Контроль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установленных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договором займа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осуществляется Фондом на основании: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квартального отчета, в котором Заемщик предоставляет информацию об основных показателях финансово-хозяйственной деятельности и соблюдении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промежуточной (ежеквартальной) и годовой бухгалтерской (финансовой) отчетности, предоставляемой Заемщиком в соответствии с договором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 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обеспечения, мониторинга исполнения соответствующих договоров залога, поручительства, гарантии.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9.4.1. Для осуществления контроля состояния обеспечения Фонд использует права, оговоренные в договорах займа, залога, поручительства и гарантии, включая право истребования необходимых первичных, бухгалтерских и иных отчетных документов.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9.4.2. Фонд осуществляет регулярный мониторинг финансового состояния поручителей и залогодателей по займу на основе промежуточной (ежеквартальной) и годовой бухгалтерской (финансовой) отчетности, предоставляемой поручителями и залогодателями в соответствии с условиями заключенных с ними договоров.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9.4.3. Фонд осуществляет регулярный мониторинг достаточности обеспечения по займу – не реже одного раза в год проводит проверку залоговой стоимости предмета залога на соответствие (стоимость равна или превышает) размеру текущей задолженности Заемщика по уплате основного долга и процентов.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9.4.4. 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негативном изменении рыночной ситуации и (или) наличии иных обстоятельств, свидетельствующих о существенном ухудшении состояния обеспечения (снижения его потенциальной рыночной стоимости более чем на 25% и (или) ниже размера текущей задолженности Заемщика) Фонд проводит за счет собственных источников финансового обеспечения независимую рыночную оценку объектов залога (недвижимого имущества, ценных бумаг и др.).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поступлением процентов и возвратом средств займа осуществляется Фондом в течение всего срока действия договора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9.5.1. Проценты за пользование займом, а также платежи в счет погашения основного долга перечисляются Заемщиком на счет Фонда в соответствии с графиком платежей в сроки, установленные договором займа.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9.5.2. Фонд организует ежедневный мониторинг поступления средств от Заемщиков и при неполучении от Заемщика платежа в течение 3 (трех) дней по истечению установленной даты погашения реализует мероприятия в соответствии с пунктом 9.6 настоящего Порядка.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9.5.3.</w:t>
      </w:r>
      <w: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вправе предъявить Заемщику штрафные санкции, предусмотренные договором займа, если иное не предусмотрено решением Экспертного совета.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9.6. 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случаях нарушения Заемщиком графика платежей, календарного плана и (или) технического задания, нарушения установленных договором займа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 возникновении риска обесценения и (или) утраты обеспечения, выявления фактов нецелевого использования средств, а также возникновении иных проблемных ситуаций Фонд взаимодействует с Заемщиком с целью выяснения обстоятельств допущенного нарушения и поиска вариантов нормализации ситуации, а также реализует мероприятия, предусмотренные подпунктами 9.6.1 - 9.6.6 настоящего Порядка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9.6.1. При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непоступлении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платежей в погашение займа (процентов по займу) к указанному в договоре займа сроку Фонд</w:t>
      </w:r>
      <w: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направляет Заемщику письмо с требованием погасить просроченную задолженность в установленные Фондом сроки.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непогашении просроченной задолженности в установленные сроки вопрос выносится на рассмотрение рабочего совещания с участием представителей профильных подразделений и юридической службы Фонда, по результатам которого, с учетом текущего финансового положения Заемщика и имеющихся данных о его возможном изменении, состояния обеспечения, достигнутых результатов проекта принимается решение: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о предоставлении отсрочки (но не более 30 (тридцати) дней от даты допущенного нарушения);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вынесении на Экспертный совет вопроса о реструктуризации займа (в том числе предоставлении отсрочки на срок, превышающий 30 (тридцать) дней от даты допущенного нарушения);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признании задолженности по займу срочной к взысканию и подаче иска в суд.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9.6.2. При наличии отклонений хода проекта от календарного плана, технического задания, несущих риски нарушения сроков реализации и (или)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недостижения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результатов проекта, Фонд запрашивает у Заемщика объяснения причин допущенных отклонений и оценку их влияния на ход реализации проекта.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По результатам анализа предоставленных объяснений Заемщика Фонд принимает решение: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о заключении дополнительного соглашения к договору займа по изменению календарного плана и (или) технического задания (в случае, если риски нарушения сроков реализации и (или)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недостижения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результатов проекта оцениваются Фондом как низкие);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вынесении вопроса на рассмотрение Экспертного совета Фонда.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9.6.3. При невыполнении Заемщиком установленных целевых показателей эффективности Фонд: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запрашивает у Заемщика объяснения о причинах невыполнения, а также план-график достижения установленных показателей;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контролирует выполнение указанного плана-графика.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Фонд не реже одного раза в год информирует Наблюдательный совет о выполнении Заемщиками установленных целевых показателей.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9.6.4.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При нарушении Заемщиком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,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установленных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договором займа, Фонд: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запрашивает у Заемщика объяснения причин допущенных нарушений, а при наличии нарушений финансовых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– также план-график их устранения (при необходимости);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 результатам анализа предоставленных объяснений Заемщика оценивает правовые и (или) финансовые риски последствий нарушения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и принимает решение:</w:t>
      </w:r>
    </w:p>
    <w:p w:rsidR="007A1ADF" w:rsidRDefault="007A1ADF" w:rsidP="007A1AD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если указанные риски оцениваются Фондом как высокие – о вынесении вопроса на рассмотрение Экспертного совета Фонда;</w:t>
      </w:r>
    </w:p>
    <w:p w:rsidR="007A1ADF" w:rsidRDefault="007A1ADF" w:rsidP="007A1AD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иных случаях – об урегулировании ситуации путем установления Заемщику сроков для устранения допущенных нарушений и (или) оформления дополнительного соглашения к договору займа (при необходимости) и осуществляет мониторинг устранения нарушений.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9.6.5. При возникновении риска обесценения и (или) утраты обеспечения возврата займа Фонд: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составляет совместно с Заемщиком соответствующий акт и взаимодействует с Заемщиком с целью выяснения причины обесценения и (или) утраты обеспечения и обсуждения вариантов нормализации ситуации;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предлагает Заемщику заменить обеспечение или предоставить дополнительное обеспечение возврата займа в оговоренные сроки;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в случае отказа Заемщика предоставить обеспечение и (или) нарушении установленных сроков его предоставления выносит вопрос на рассмотрение Экспертного совета Фонда.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9.6.6. При выявлении фактов нецелевого использования средств Заемщиком: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Заемщику предлагается осуществить возврат на Счет израсходованных нецелевым образом средств в установленные Фондом сроки;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случае невыполнения Заемщиком требования Фонда о возврате денежных средств на Счет вопрос выносится на рассмотрение Экспертного совета.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9.7. При выявлении обстоятельств, предоставляющих Фонду право досрочного взыскания или свидетельствующих о нецелевом использовании средств займа, неисполнении или ненадлежащем исполнении Заемщиком обязательств по возврату основного долга и (или) уплате процентов, Фонд вправе произвести списание денежных средств со Счета в соответствии с заранее данным Заемщиком акцептом на списание денежных средств со Счета.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9.8.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Экспертный совет Фонда с учетом достигнутых результатов проекта, возможности их коммерческой реализации, финансового состояния Заемщика, наличия и качества обеспечения возврата займа и других существенных обстоятель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ств пр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инимает решение по вопросу использования займа: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об изменении объема финансовой поддержки проектов, решение о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софинансировании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которых было принято ранее;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досрочном возврате предоставленных денежных средств;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согласовании вида и объема обеспечения исполнения обязательств по возврату предоставленного финансирования;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реструктуризации задолженности, включая установление нового графика погашения займа и уплаты процентов, утверждение условий мировых соглашений.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Решение Экспертного совета может содержать как весь комплекс требований, предусмотренных договором займа (досрочный возврат займа, уплата повышенных процентов за пользование займом, применение штрафных санкций), так и любое из них.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9.9. На основании решения Экспертного совета Фонд обеспечивает реализацию необходимых процедур.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 1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субъектов инвестиционной деятельности </w:t>
      </w: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Е Р Е Ч Е Н Ь 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отраслевых направлений экономической деятельности, в рамках которых возможно получение субъектами инвестиционной деятельности финансовой поддержки автономного учреждения Чувашской Республики «Фонд развития про 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на реализацию проектов субъектов инвестиционной деятельности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8209"/>
      </w:tblGrid>
      <w:tr w:rsidR="007A1ADF" w:rsidTr="00877CDB">
        <w:tc>
          <w:tcPr>
            <w:tcW w:w="125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№ класса ОКВЭД</w:t>
            </w:r>
          </w:p>
        </w:tc>
        <w:tc>
          <w:tcPr>
            <w:tcW w:w="8209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firstLine="709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9465" w:type="dxa"/>
            <w:gridSpan w:val="2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hanging="142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 xml:space="preserve"> А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 xml:space="preserve"> «Сельское, лесное хозяйство, охота, рыболовство и рыбоводство»:</w:t>
            </w:r>
          </w:p>
        </w:tc>
      </w:tr>
      <w:tr w:rsidR="007A1ADF" w:rsidTr="00877CDB">
        <w:tc>
          <w:tcPr>
            <w:tcW w:w="125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820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 - в части ОКВЭД 01.63, за исключением деятельности по хранению</w:t>
            </w:r>
          </w:p>
        </w:tc>
      </w:tr>
      <w:tr w:rsidR="007A1ADF" w:rsidTr="00877CDB">
        <w:tc>
          <w:tcPr>
            <w:tcW w:w="9465" w:type="dxa"/>
            <w:gridSpan w:val="2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C «Обрабатывающие производства»:</w:t>
            </w:r>
          </w:p>
        </w:tc>
      </w:tr>
      <w:tr w:rsidR="007A1ADF" w:rsidTr="00877CDB">
        <w:tc>
          <w:tcPr>
            <w:tcW w:w="125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820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пищевых продуктов (за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ОКВЭД 10.89.1, 10.89.4, 10.89.7, 10.89.8, 10.86.61, 10.86.62, 10.86.63, 10.86.64, 10.86.69, 10.86.5)</w:t>
            </w:r>
            <w:proofErr w:type="gramEnd"/>
          </w:p>
        </w:tc>
      </w:tr>
      <w:tr w:rsidR="007A1ADF" w:rsidTr="00877CDB">
        <w:tc>
          <w:tcPr>
            <w:tcW w:w="125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820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напитков</w:t>
            </w:r>
          </w:p>
        </w:tc>
      </w:tr>
    </w:tbl>
    <w:p w:rsidR="007A1ADF" w:rsidRDefault="007A1ADF" w:rsidP="007A1ADF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br w:type="page"/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lastRenderedPageBreak/>
        <w:t>Приложение № 2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субъектов инвестиционной деятельности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5171"/>
      </w:tblGrid>
      <w:tr w:rsidR="007A1ADF" w:rsidTr="00877CDB">
        <w:tc>
          <w:tcPr>
            <w:tcW w:w="4399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517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  <w:t>В автономное учреждение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</w:t>
            </w:r>
          </w:p>
        </w:tc>
      </w:tr>
      <w:tr w:rsidR="007A1ADF" w:rsidTr="00877CDB">
        <w:tc>
          <w:tcPr>
            <w:tcW w:w="4399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17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7A1ADF" w:rsidTr="00877CDB">
        <w:tc>
          <w:tcPr>
            <w:tcW w:w="4399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517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  <w:t>от _____________________________________</w:t>
            </w:r>
          </w:p>
          <w:p w:rsidR="007A1ADF" w:rsidRDefault="007A1ADF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lang w:eastAsia="hi-IN" w:bidi="hi-IN"/>
              </w:rPr>
              <w:t>наименование заявителя:</w:t>
            </w:r>
          </w:p>
          <w:p w:rsidR="007A1ADF" w:rsidRDefault="007A1ADF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полное наименование юридического лица с указанием организационно-правовой формы.</w:t>
            </w:r>
          </w:p>
          <w:p w:rsidR="007A1ADF" w:rsidRDefault="007A1ADF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Для ИП указать фамилию, имя, отчество (последнее при наличии) полностью.</w:t>
            </w:r>
          </w:p>
          <w:p w:rsidR="007A1ADF" w:rsidRDefault="007A1ADF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Адрес регистрации:</w:t>
            </w:r>
          </w:p>
          <w:p w:rsidR="007A1ADF" w:rsidRDefault="007A1ADF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  <w:t>Телефон:</w:t>
            </w:r>
          </w:p>
        </w:tc>
      </w:tr>
    </w:tbl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0"/>
          <w:szCs w:val="20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right="277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Заявление о предоставлении займа</w:t>
      </w:r>
    </w:p>
    <w:p w:rsidR="007A1ADF" w:rsidRDefault="007A1ADF" w:rsidP="007A1ADF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0"/>
          <w:szCs w:val="20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 xml:space="preserve">Прошу предоставить заем для </w:t>
      </w:r>
      <w:proofErr w:type="spellStart"/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 xml:space="preserve"> проекта на следующих условиях: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4747"/>
      </w:tblGrid>
      <w:tr w:rsidR="007A1ADF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Цель и краткое описание проекта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Общая стоимость проекта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Сумма собственных вложений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Сумма запрашиваемого займа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Срок пользования займа (месяцев)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Процентная ставка за пользование займом, (% </w:t>
            </w:r>
            <w:proofErr w:type="gramStart"/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годовых</w:t>
            </w:r>
            <w:proofErr w:type="gramEnd"/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Порядок погашения основного долга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Предлагаемое обеспечение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Перечень прилагаемых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65"/>
        <w:gridCol w:w="2052"/>
        <w:gridCol w:w="364"/>
        <w:gridCol w:w="2463"/>
      </w:tblGrid>
      <w:tr w:rsidR="007A1ADF" w:rsidTr="00877CDB">
        <w:tc>
          <w:tcPr>
            <w:tcW w:w="442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Руководитель предприятия – заявителя (индивидуальный предприниматель)</w:t>
            </w:r>
          </w:p>
        </w:tc>
        <w:tc>
          <w:tcPr>
            <w:tcW w:w="265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c>
          <w:tcPr>
            <w:tcW w:w="442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6"/>
                <w:szCs w:val="16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6"/>
                <w:szCs w:val="16"/>
                <w:lang w:eastAsia="hi-IN" w:bidi="hi-IN"/>
              </w:rPr>
              <w:t>(расшифровка подписи)</w:t>
            </w:r>
          </w:p>
        </w:tc>
      </w:tr>
      <w:tr w:rsidR="007A1ADF" w:rsidTr="00877CDB">
        <w:tc>
          <w:tcPr>
            <w:tcW w:w="442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Главный бухгалтер (Бухгалтер)</w:t>
            </w:r>
          </w:p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(при наличии)</w:t>
            </w:r>
          </w:p>
        </w:tc>
        <w:tc>
          <w:tcPr>
            <w:tcW w:w="265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A1ADF" w:rsidTr="00877CDB">
        <w:tc>
          <w:tcPr>
            <w:tcW w:w="442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7A1ADF" w:rsidTr="00877CDB">
        <w:tc>
          <w:tcPr>
            <w:tcW w:w="442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«____»____________________20___года</w:t>
            </w:r>
          </w:p>
        </w:tc>
        <w:tc>
          <w:tcPr>
            <w:tcW w:w="265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A1ADF" w:rsidTr="00877CDB">
        <w:tc>
          <w:tcPr>
            <w:tcW w:w="442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М.П. (при наличии)</w:t>
            </w:r>
          </w:p>
        </w:tc>
        <w:tc>
          <w:tcPr>
            <w:tcW w:w="265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7A1ADF" w:rsidRDefault="007A1ADF" w:rsidP="007A1ADF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3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субъектов инвестиционной деятельности </w:t>
      </w:r>
    </w:p>
    <w:p w:rsidR="007A1ADF" w:rsidRDefault="007A1ADF" w:rsidP="007A1ADF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Резюме проекта</w:t>
      </w: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Анкета юридического лица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1ADF" w:rsidTr="00877CDB"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Полное наименование организации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Сокращенное наименование организации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ОГРН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ИНН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КПП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Дата государственной регистрации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Юридический адрес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tabs>
                <w:tab w:val="left" w:pos="2843"/>
              </w:tabs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Официальный веб-сайт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tabs>
                <w:tab w:val="left" w:pos="2843"/>
              </w:tabs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Официальная электронная почта (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val="en-US" w:eastAsia="hi-IN" w:bidi="hi-IN"/>
              </w:rPr>
              <w:t>e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val="en-US" w:eastAsia="hi-IN" w:bidi="hi-IN"/>
              </w:rPr>
              <w:t>mail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)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Руководитель организации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Контактное лицо</w:t>
            </w:r>
          </w:p>
        </w:tc>
        <w:tc>
          <w:tcPr>
            <w:tcW w:w="478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2.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Полное наименование 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3.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Требуемый объем 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со стороны Фонда, тыс. руб.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4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Сроки возврата займа, мес.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5.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Отрасль промышленности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6.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Подотрасль</w:t>
      </w:r>
      <w:proofErr w:type="spell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промышленности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7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Аннотация 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8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Имеющийся результат по проекту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9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Место реализации 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10.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Ключевые исполнители проекта (поставщик оборудования, подрядчик на выполнение работ / оказание услуг, на которого приходится выплата более чем 20% от суммы займа в ходе реализации проекта)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948"/>
        <w:gridCol w:w="2261"/>
        <w:gridCol w:w="3242"/>
        <w:gridCol w:w="2119"/>
      </w:tblGrid>
      <w:tr w:rsidR="007A1ADF" w:rsidTr="00877CDB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  <w:t>Ключевой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  <w:t>Тип ключевого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  <w:t>Описание работ по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  <w:t>Стоимость работ, тыс. руб.</w:t>
            </w:r>
          </w:p>
        </w:tc>
      </w:tr>
      <w:tr w:rsidR="007A1ADF" w:rsidTr="00877C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Cs w:val="26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Cs w:val="26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Cs w:val="26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11.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Включение проекта в отраслевые планы 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импортозамещения</w:t>
      </w:r>
      <w:proofErr w:type="spellEnd"/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194"/>
        <w:gridCol w:w="4376"/>
      </w:tblGrid>
      <w:tr w:rsidR="007A1ADF" w:rsidTr="00877CDB">
        <w:tc>
          <w:tcPr>
            <w:tcW w:w="521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Отраслевой перечень, куда включена продукция</w:t>
            </w:r>
          </w:p>
        </w:tc>
        <w:tc>
          <w:tcPr>
            <w:tcW w:w="43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521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Шифр продукции</w:t>
            </w:r>
          </w:p>
        </w:tc>
        <w:tc>
          <w:tcPr>
            <w:tcW w:w="43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12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Цели и показатели проекта</w:t>
      </w: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Период запуска серийного производства (</w:t>
      </w: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 даты получения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займа), мес.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Результат от реализации проекта в натуральном выражении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3635"/>
        <w:gridCol w:w="848"/>
        <w:gridCol w:w="848"/>
        <w:gridCol w:w="848"/>
        <w:gridCol w:w="848"/>
        <w:gridCol w:w="848"/>
        <w:gridCol w:w="846"/>
        <w:gridCol w:w="849"/>
      </w:tblGrid>
      <w:tr w:rsidR="007A1ADF" w:rsidTr="00877CDB">
        <w:trPr>
          <w:tblHeader/>
        </w:trPr>
        <w:tc>
          <w:tcPr>
            <w:tcW w:w="3635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Наименование показателя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7A1ADF" w:rsidTr="00877CDB">
        <w:tc>
          <w:tcPr>
            <w:tcW w:w="36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Объем выручки, обеспеченной за счет реализации проекта, тыс. руб.</w:t>
            </w: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635" w:type="dxa"/>
          </w:tcPr>
          <w:p w:rsidR="007A1ADF" w:rsidRDefault="007A1ADF" w:rsidP="00877CDB">
            <w:pPr>
              <w:suppressAutoHyphens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Объем налоговых поступлений в бюджеты бюджетной системы РФ, обеспечиваемый за счет реализации проекта, тыс. руб.</w:t>
            </w: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6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Количество рабочих мест, создаваемых Заемщиком в ходе реализации проекта, шт.</w:t>
            </w: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635" w:type="dxa"/>
          </w:tcPr>
          <w:p w:rsidR="007A1ADF" w:rsidRDefault="007A1ADF" w:rsidP="00877CDB">
            <w:pPr>
              <w:suppressAutoHyphens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Объем средств частных инвесторов, привлекаемых для реализации проекта дополнительно к сумме предоставленного займа, тыс. руб.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*</w:t>
            </w: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6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Доля выручки, получаемой от экспорта выпускаемой продукции, %</w:t>
            </w: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0"/>
          <w:szCs w:val="26"/>
          <w:vertAlign w:val="superscript"/>
          <w:lang w:eastAsia="hi-IN" w:bidi="hi-IN"/>
        </w:rPr>
        <w:t>*</w:t>
      </w:r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 xml:space="preserve"> 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13.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Сбыт продукции проекта, обеспечивающий выход на целевой объем продаж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Продукция ориентирована на экспорт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да (нет)</w:t>
            </w: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Страны, куда планируется экспорт продукции: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1ADF" w:rsidTr="00877CDB">
        <w:tc>
          <w:tcPr>
            <w:tcW w:w="95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lastRenderedPageBreak/>
        <w:t>14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Бюджет проекта</w:t>
      </w:r>
    </w:p>
    <w:tbl>
      <w:tblPr>
        <w:tblStyle w:val="af1"/>
        <w:tblW w:w="518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1771"/>
        <w:gridCol w:w="1440"/>
        <w:gridCol w:w="734"/>
        <w:gridCol w:w="952"/>
        <w:gridCol w:w="770"/>
        <w:gridCol w:w="745"/>
        <w:gridCol w:w="738"/>
        <w:gridCol w:w="761"/>
        <w:gridCol w:w="799"/>
        <w:gridCol w:w="765"/>
      </w:tblGrid>
      <w:tr w:rsidR="007A1ADF" w:rsidTr="00877CDB">
        <w:trPr>
          <w:tblHeader/>
        </w:trPr>
        <w:tc>
          <w:tcPr>
            <w:tcW w:w="343" w:type="dxa"/>
            <w:vMerge w:val="restart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/п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Направления целевого использования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Зарплата сотрудников, вкл. налоги и взносы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от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 ФОТ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Материалы и комплектующие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оборудования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Итого</w:t>
            </w:r>
          </w:p>
        </w:tc>
      </w:tr>
      <w:tr w:rsidR="007A1ADF" w:rsidTr="00877CDB">
        <w:trPr>
          <w:tblHeader/>
        </w:trPr>
        <w:tc>
          <w:tcPr>
            <w:tcW w:w="343" w:type="dxa"/>
            <w:vMerge/>
            <w:shd w:val="clear" w:color="auto" w:fill="auto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Заявителя*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</w:t>
            </w: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1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2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Разработка нового продукта (технологии):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2.1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Проведение ОТР и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ОКР</w:t>
            </w:r>
            <w:proofErr w:type="gramEnd"/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2.2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Технические, производственно-технологические, маркетинговые тестирования и испытания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2.3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охраноспособных</w:t>
            </w:r>
            <w:proofErr w:type="spellEnd"/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 xml:space="preserve"> решений и др.), патентование разработанных решений, в том числе зарубежное патентование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2.4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 xml:space="preserve">Сертификация, клинические испытания и </w:t>
            </w:r>
            <w:proofErr w:type="gramStart"/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другие</w:t>
            </w:r>
            <w:proofErr w:type="gramEnd"/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 xml:space="preserve"> обязательные для вывода на рынок контрольно-сертификационные процедуры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2.5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3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4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Разработка технико-экономического обоснования инвестиционной стадии проекта,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прединвестиционный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 анализ и оптимизация проекта, исключая аналитические исследования рынка. Сертификация и внедрение новых методов эффективной организации производства (</w:t>
            </w: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val="en-US" w:eastAsia="hi-IN" w:bidi="hi-IN"/>
              </w:rPr>
              <w:t>ISO</w:t>
            </w: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 9000, </w:t>
            </w: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val="en-US" w:eastAsia="hi-IN" w:bidi="hi-IN"/>
              </w:rPr>
              <w:t>LEAN</w:t>
            </w: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 и пр.)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5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6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Инжиниринг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6.1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6.2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Проектно-изыскательские работы, сбор исходных данных, разработка концепции строительства (ремонта) зданий, сооружений, коммуникаций для организации производства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6.3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Разработка проектной документации для объектов капитального строительства включительно до стадии «Проектная документация»,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7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Государственная экспертиза проектной документации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8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9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в собственность российского и (или) импортного оборудования, а также его монтаж, наладка и иные мероприятия по его подготовке для серийного производства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10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Общехозяйственные расходы, </w:t>
            </w: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lastRenderedPageBreak/>
              <w:t>связанные с выполнением работ по проекту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lastRenderedPageBreak/>
              <w:t>11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12</w:t>
            </w: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Прочие капитальные вложения в проект: приобретение зданий, сооружений, земельных участков, иные вложения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343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71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ИТОГО</w:t>
            </w:r>
          </w:p>
        </w:tc>
        <w:tc>
          <w:tcPr>
            <w:tcW w:w="144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4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52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0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8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1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5" w:type="dxa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том числе распределение по годам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vertAlign w:val="superscript"/>
          <w:lang w:eastAsia="hi-IN" w:bidi="hi-IN"/>
        </w:rPr>
        <w:t>**</w:t>
      </w:r>
    </w:p>
    <w:tbl>
      <w:tblPr>
        <w:tblStyle w:val="af1"/>
        <w:tblW w:w="51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7"/>
        <w:gridCol w:w="1795"/>
        <w:gridCol w:w="899"/>
        <w:gridCol w:w="875"/>
        <w:gridCol w:w="11"/>
        <w:gridCol w:w="885"/>
        <w:gridCol w:w="756"/>
        <w:gridCol w:w="11"/>
        <w:gridCol w:w="927"/>
        <w:gridCol w:w="850"/>
        <w:gridCol w:w="852"/>
        <w:gridCol w:w="849"/>
      </w:tblGrid>
      <w:tr w:rsidR="007A1ADF" w:rsidTr="00877CDB">
        <w:trPr>
          <w:tblHeader/>
        </w:trPr>
        <w:tc>
          <w:tcPr>
            <w:tcW w:w="1128" w:type="dxa"/>
            <w:vMerge w:val="restart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Год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Зарплата сотрудников, вкл. налоги и взносы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от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 ФОТ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Материалы и комплектующие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Итого</w:t>
            </w:r>
          </w:p>
        </w:tc>
      </w:tr>
      <w:tr w:rsidR="007A1ADF" w:rsidTr="00877CDB">
        <w:trPr>
          <w:tblHeader/>
        </w:trPr>
        <w:tc>
          <w:tcPr>
            <w:tcW w:w="1128" w:type="dxa"/>
            <w:vMerge/>
            <w:shd w:val="clear" w:color="auto" w:fill="auto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Заявителя</w:t>
            </w:r>
          </w:p>
        </w:tc>
      </w:tr>
      <w:tr w:rsidR="007A1ADF" w:rsidTr="00877CDB">
        <w:tc>
          <w:tcPr>
            <w:tcW w:w="1128" w:type="dxa"/>
            <w:vAlign w:val="center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6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8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1128" w:type="dxa"/>
            <w:vAlign w:val="center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6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8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1128" w:type="dxa"/>
            <w:vAlign w:val="center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6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8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1128" w:type="dxa"/>
            <w:vAlign w:val="center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6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8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1128" w:type="dxa"/>
            <w:vAlign w:val="center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6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8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1128" w:type="dxa"/>
            <w:vAlign w:val="center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6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8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1128" w:type="dxa"/>
            <w:vAlign w:val="center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6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8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7A1ADF" w:rsidTr="00877CDB">
        <w:tc>
          <w:tcPr>
            <w:tcW w:w="1128" w:type="dxa"/>
            <w:vAlign w:val="center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79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96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6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8" w:type="dxa"/>
            <w:gridSpan w:val="2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5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49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0"/>
          <w:szCs w:val="26"/>
          <w:vertAlign w:val="superscript"/>
          <w:lang w:eastAsia="hi-IN" w:bidi="hi-IN"/>
        </w:rPr>
        <w:t>**</w:t>
      </w:r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 xml:space="preserve"> Заявителем по столбцу «Средства Заявителя»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займа.</w:t>
      </w: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15.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Источники финансирования проекта, включая стадию серийного промышленного производства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2832"/>
        <w:gridCol w:w="1935"/>
        <w:gridCol w:w="1935"/>
        <w:gridCol w:w="1613"/>
        <w:gridCol w:w="1255"/>
      </w:tblGrid>
      <w:tr w:rsidR="007A1ADF" w:rsidTr="00877CDB">
        <w:tc>
          <w:tcPr>
            <w:tcW w:w="2832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Форма финансирования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Источник финансирования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Страна источника финансирования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Год получения (факт или плановый)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Сумма, тыс. руб.</w:t>
            </w:r>
          </w:p>
        </w:tc>
      </w:tr>
      <w:tr w:rsidR="007A1ADF" w:rsidTr="00877CDB">
        <w:tc>
          <w:tcPr>
            <w:tcW w:w="9570" w:type="dxa"/>
            <w:gridSpan w:val="5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Уже произведенные расходы по проекту, из них:</w:t>
            </w: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Бюджетные средства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аффилированных лиц, бенефициаров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Банковское кредитование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Собственные средства организации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иных частных инвесторов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9570" w:type="dxa"/>
            <w:gridSpan w:val="5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Планируемые расходы до конца проекта, из них:</w:t>
            </w: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Бюджетные средства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аффилированных лиц, бенефициаров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Банковское кредитование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Собственные средства организации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иных частных инвесторов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2832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Фонда</w:t>
            </w: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16.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Предполагаемое обеспечение по возврату займа</w:t>
      </w: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основного обеспечения, принимаемого Фондом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038"/>
        <w:gridCol w:w="2264"/>
        <w:gridCol w:w="2268"/>
      </w:tblGrid>
      <w:tr w:rsidR="007A1ADF" w:rsidTr="00877CDB">
        <w:trPr>
          <w:tblHeader/>
        </w:trPr>
        <w:tc>
          <w:tcPr>
            <w:tcW w:w="5070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Вид обеспечения, 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Юридическое или физическое лицо, предоставляющее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Объем обеспечения, тыс. руб. (</w:t>
            </w:r>
            <w:r>
              <w:rPr>
                <w:rFonts w:ascii="Times New Roman" w:eastAsia="SimSun" w:hAnsi="Times New Roman"/>
                <w:b/>
                <w:i/>
                <w:color w:val="000000"/>
                <w:kern w:val="2"/>
                <w:sz w:val="20"/>
                <w:szCs w:val="26"/>
                <w:lang w:eastAsia="hi-IN" w:bidi="hi-IN"/>
              </w:rPr>
              <w:t>балансовая/оценочная стоимость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50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50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50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50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дополнительного обеспечения, принимаемого Фондом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038"/>
        <w:gridCol w:w="2264"/>
        <w:gridCol w:w="2268"/>
      </w:tblGrid>
      <w:tr w:rsidR="007A1ADF" w:rsidTr="00877CDB">
        <w:trPr>
          <w:tblHeader/>
        </w:trPr>
        <w:tc>
          <w:tcPr>
            <w:tcW w:w="5070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Вид обеспечения, 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Юридическое или физическое лицо, предоставляющее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Объем обеспечения, тыс. руб. (</w:t>
            </w:r>
            <w:r>
              <w:rPr>
                <w:rFonts w:ascii="Times New Roman" w:eastAsia="SimSun" w:hAnsi="Times New Roman"/>
                <w:b/>
                <w:i/>
                <w:color w:val="000000"/>
                <w:kern w:val="2"/>
                <w:sz w:val="20"/>
                <w:szCs w:val="26"/>
                <w:lang w:eastAsia="hi-IN" w:bidi="hi-IN"/>
              </w:rPr>
              <w:t>балансовая/оценочная стоимость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50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50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50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7A1ADF" w:rsidTr="00877CDB">
        <w:tc>
          <w:tcPr>
            <w:tcW w:w="5070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7A1ADF" w:rsidRDefault="007A1ADF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</w:tbl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261"/>
        <w:gridCol w:w="1974"/>
        <w:gridCol w:w="350"/>
        <w:gridCol w:w="2379"/>
      </w:tblGrid>
      <w:tr w:rsidR="007A1ADF" w:rsidTr="00877CDB">
        <w:tc>
          <w:tcPr>
            <w:tcW w:w="460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Руководитель предприятия – заявителя (индивидуальный предприниматель)</w:t>
            </w:r>
          </w:p>
        </w:tc>
        <w:tc>
          <w:tcPr>
            <w:tcW w:w="26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0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c>
          <w:tcPr>
            <w:tcW w:w="460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50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7A1ADF" w:rsidTr="00877CDB">
        <w:tc>
          <w:tcPr>
            <w:tcW w:w="460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Главный бухгалтер (Бухгалтер)</w:t>
            </w:r>
          </w:p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(при наличии)</w:t>
            </w:r>
          </w:p>
        </w:tc>
        <w:tc>
          <w:tcPr>
            <w:tcW w:w="26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0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c>
          <w:tcPr>
            <w:tcW w:w="460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50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7A1ADF" w:rsidTr="00877CDB">
        <w:tc>
          <w:tcPr>
            <w:tcW w:w="460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0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9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c>
          <w:tcPr>
            <w:tcW w:w="460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«____»____________________20___года</w:t>
            </w:r>
          </w:p>
        </w:tc>
        <w:tc>
          <w:tcPr>
            <w:tcW w:w="26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0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9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1ADF" w:rsidTr="00877CDB">
        <w:tc>
          <w:tcPr>
            <w:tcW w:w="460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М.П. (при наличии)</w:t>
            </w:r>
          </w:p>
        </w:tc>
        <w:tc>
          <w:tcPr>
            <w:tcW w:w="261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0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9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A1ADF" w:rsidRDefault="007A1ADF" w:rsidP="007A1ADF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4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субъектов инвестиционной деятельности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Е Р Е Ч Е Н Ь 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документов, представляемых Заявителем </w:t>
      </w: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на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разных 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этапах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прохождения заявки</w:t>
      </w:r>
    </w:p>
    <w:p w:rsidR="007A1ADF" w:rsidRDefault="007A1ADF" w:rsidP="007A1AD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Для целей проведения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Заявитель направляет на рассмотрение в Фонд: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 заявление о предоставлении займа по форме согласно приложению № 2 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субъектов инвестиционной деятельности (далее - Порядок);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 резюме проекта по форме согласно приложению № 3 к Порядку.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Документы, предоставляемые Заявителем на последующих этапах рассмотрения проекта в Фонде, приведены в следующей таблице.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Формат электронных документов (кроме расчетной финансовой модели) – PDF. Все листы одного документа в одном файле. В одном файле один документ. Предоставление нескольких документов в одном файле не допускается. Название файла формируется по шаблону: &lt;название организации&gt; – &lt;вид документа&gt;</w:t>
      </w:r>
    </w:p>
    <w:p w:rsidR="007A1ADF" w:rsidRDefault="007A1ADF" w:rsidP="007A1AD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>(к) – электронная копия документа</w:t>
      </w: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ab/>
      </w: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ab/>
        <w:t>(</w:t>
      </w:r>
      <w:proofErr w:type="spellStart"/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>зк</w:t>
      </w:r>
      <w:proofErr w:type="spellEnd"/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>) – заверенная копия документа</w:t>
      </w: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ab/>
        <w:t>(о) – оригинал документа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1426"/>
        <w:gridCol w:w="1337"/>
        <w:gridCol w:w="1373"/>
        <w:gridCol w:w="1277"/>
      </w:tblGrid>
      <w:tr w:rsidR="007A1ADF" w:rsidTr="00877CDB">
        <w:trPr>
          <w:tblHeader/>
        </w:trPr>
        <w:tc>
          <w:tcPr>
            <w:tcW w:w="3588" w:type="dxa"/>
            <w:vMerge w:val="restart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Наименование документа</w:t>
            </w:r>
          </w:p>
        </w:tc>
        <w:tc>
          <w:tcPr>
            <w:tcW w:w="5413" w:type="dxa"/>
            <w:gridSpan w:val="4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Этап, на котором запрашивается документ</w:t>
            </w:r>
          </w:p>
        </w:tc>
      </w:tr>
      <w:tr w:rsidR="007A1ADF" w:rsidTr="00877CDB">
        <w:trPr>
          <w:tblHeader/>
        </w:trPr>
        <w:tc>
          <w:tcPr>
            <w:tcW w:w="3588" w:type="dxa"/>
            <w:vMerge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Подготовка документов к Входной экспертизе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Комплексная экспертиза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Подготовка к Экспертному совету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Подписание договоров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1. Документы проекта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Бизнес-план проекта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Техническое задание по проекту</w:t>
            </w:r>
          </w:p>
          <w:p w:rsidR="007A1ADF" w:rsidRDefault="007A1ADF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(в случае разработки нового продукта)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Календарный план проекта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Финансовая модель</w:t>
            </w:r>
            <w:proofErr w:type="gramStart"/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Заявление об обеспечении исполнения обязательств по договору займа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Информационная справка в произвольной форме о получении по проекту средств из бюджетной системы РФ, а также от институтов развития с указанием инструмента поддержки (субсидия и т.п.), направлений расходования средств и </w:t>
            </w: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lastRenderedPageBreak/>
              <w:t>фактической суммы использования на дату составления справки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lastRenderedPageBreak/>
              <w:t xml:space="preserve">Детализированный перечень ранее понесенных затрат, включаемых в расчет объема </w:t>
            </w:r>
            <w:proofErr w:type="spellStart"/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софинансирования</w:t>
            </w:r>
            <w:proofErr w:type="spellEnd"/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со стороны Заявителя, частных инвесторов или за счет банковских кредитов</w:t>
            </w: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Основные условия предоставления займа (с/без Протоколо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м(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-а) разногласий)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Резюме проекта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В случае использования средств займа на строительство или капитальный ремонт зданий, сооружений, коммуникаций для организации производства (создание и (или)</w:t>
            </w:r>
            <w:r>
              <w:rPr>
                <w:rFonts w:ascii="Times New Roman" w:eastAsia="SimSun" w:hAnsi="Times New Roman"/>
                <w:b/>
                <w:strike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модернизация объекта)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Сводный сметный расчет строительства и (или) капитального ремонта объекта (при наличии)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Положительное заключение государственной экспертизы на проектную документацию, выданное уполномоченным на проведение государственной экспертизы проектной документации и результатов инженерных изысканий государственным учреждением Чувашской Республики, подведомственным Министерству строительства, архитектуры и жилищно-коммунального хозяйства Чувашской Республики (при наличии)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Разрешение на строительство объекта  (при наличии)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Договоры на выполнение строительных работ и (или) реконструкцию объектов (при наличии) </w:t>
            </w:r>
          </w:p>
        </w:tc>
        <w:tc>
          <w:tcPr>
            <w:tcW w:w="1426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2. Документы, подтверждающие правовой статус, полномочия и финансовое состояние Заявителя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Устав в действующей редакции – для юридических лиц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Список лиц, зарегистрированных в реестре владельцев ценных бумаг, владеющих более 5% акций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случае наличия в реестре владельцев ценных бумаг номинальных держателей с размещением на счете более 5% акций необходимо представить выписку по счету депо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владельцах Заявителя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- для юридических лиц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два последних года, а также за все завершившиеся отчетные периоды текущего года (если прошло 10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 xml:space="preserve">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Расчёт величины чистых активов на последнюю отчетную дату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7</w:t>
            </w:r>
            <w:proofErr w:type="gramEnd"/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Справка об отсутствии просроченной задолженности (в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т.ч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. по кредитам и займам, перед поставщиками и подрядчиками, по налогам и сборам, перед внебюджетными фондами, по заработной плате и прочими кредиторами) по состоянию на дату составления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Информационная справка об аффилированных лицах Заявителя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8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- для юридических лиц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Организационная структура Группы с указанием долей владения (если Заявитель входит в состав группы компаний)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Схема товарно-денежных потоков Группы с описанием функций отдельных компаний в Группе, принципов внутригрупповых расчетов и выделением центров прибыли (если Заявитель входит в состав группы компаний)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Консолидированная финансовая отчётность Группы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аудированная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по МСФО или управленческая – за последний завершившийся финансовый год и завершившийся отчетный период текущего года (при наличии)</w:t>
            </w:r>
          </w:p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(если Заявитель входит в состав группы компаний)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 пределах 30 календарных дней до даты подписания договора займа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Согласие Заявителя как субъекта кредитной истории на раскрытие информации, содержащейся в кредитной истории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9</w:t>
            </w:r>
            <w:proofErr w:type="gramEnd"/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Документы об одобрении сделки займа уполномоченным органом юридического лица в случае, если это предусмотрено законом или Уставом; </w:t>
            </w:r>
          </w:p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Информационное письмо с указанием реквизитов расчетного счета в банке,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открытого для обособленного учета средств по займу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 xml:space="preserve">Дополнительное соглашение к договору банковского счета Заявителя, предоставляющее Фонду право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безакцептного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списания средств со специального счета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Комплект документов, необходимый для предоставления Фонду права акцептования платежей по счету Заявителя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3. Документы, подтверждающие правовой статус, финансовое состояние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ключевых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 исполнителей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10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Информационная справка об Исполнителе в проекте (об объеме и стоимости работ Исполнителя в проекте с обоснованием компетенций Исполнителя, описанием причин выбора данного Исполнителя для выполнения работ в проекте, объема работ в проекте, компетенций и референций Исполнителя по аналогичным работам, с указанием ОГРН, ИНН)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Для нерезидентов РФ – выписка из реестра юридических лиц, выданная уполномоченным органом не ранее 3 месяцев на дату предоставления в Фонд)</w:t>
            </w:r>
            <w:proofErr w:type="gramEnd"/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Устав (для резидентов РФ)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последний завершившийся финансовый год, а также за последний отчетный период текущего года, 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 (для нерезидентов РФ – при наличии)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Договор с Исполнителем (при наличии)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Лицензии на право осуществления видов деятельности (если деятельность, согласно законодательству, подлежит обязательному лицензированию)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владельцах Исполнителя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 xml:space="preserve">Письменное заверение Заявителя о соответствии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бенефициарным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 Обеспечение по проекту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4.1. При предоставлении банковской гарантии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Комфортное письмо Банка о готовности рассмотреть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вопрос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о предоставлении гарантии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Документ, подтверждающий полномочия лица, подписавшего банковскую гарантию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4.2. При предоставлении Гарантий/Поручительств юридических лиц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Устав в действующей редакции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Список лиц, зарегистрированных в реестре владельцев ценных бумаг, владеющих более 5% акций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случае наличия в реестре владельцев ценных бумаг номинальных держателей с размещением на счете более 5% акций необходимо представить выписку по счету депо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два последних года, а также за все завершившиеся отчетные периоды текущего года (если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Расчёт величины чистых активов на последнюю отчетную дату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7</w:t>
            </w:r>
            <w:proofErr w:type="gramEnd"/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Справка об отсутствии просроченной задолженности (в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т.ч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. по кредитам и займам, перед поставщиками и подрядчиками, по налогам и сборам, перед внебюджетными фондами, по заработной плате и прочими кредиторами) по состоянию на дату составления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Согласие поручителя как субъекта кредитной истории на раскрытие информации, содержащейся в кредитной истории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Информационная справка об аффилированных лицах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Решение уполномоченного органа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Документы об одобрении сделки поручительства (гарантии)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4.3. При предоставлении Гарантий/Поручительств физических лиц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Паспорт, СНИЛС, ИНН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Нотариально заверенное согласие супруги (супруга) Гаранта (Поручителя) (при наличии зарегистрированного брака), или брачный договор (если был заключен), или нотариально заверенное заявление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ненахождении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в браке.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Согласие на обработку персональных данных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4.4. При предоставлении обеспечения в виде залога в отношении Залогодателей – юридических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Устав в действующей редакции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Список лиц, зарегистрированных в реестре владельцев ценных бумаг, владеющих более 5% акций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случае наличия в реестре владельцев ценных бумаг номинальных держателей с размещением на счете более 5% акций необходимо представить выписку по счету депо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Бухгалтерская справка о балансовой стоимости имущества, передаваемого в залог, на последнюю отчетную дату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владельцах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два последних года, а также за все завершившиеся отчетные периоды текущего года (если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Информационная справка об аффилированных лицах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Расшифровка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забалансовых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обязательств, а также информация по залогам с указанием залогового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имущества, залоговой стоимости и сроков договоров залога или справка об отсутствии таковых</w:t>
            </w:r>
          </w:p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Документы об одобрении сделки залога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Заверение Залогодателя (третьего лица) о принадлежности на праве собственности движимого имущества, передаваемого в залог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4.5. При предоставлении обеспечения в виде залога в отношении Залогодателей – физических лиц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Паспорт, СНИЛС, ИНН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Нотариально заверенное согласие супруг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и(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супруга) Залогодателя (при наличии зарегистрированного брака), и нотариально заверенная копия брачного договора (если был заключен), или нотариально заверенное заявление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ненахождении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в браке.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Заверение Залогодателя о принадлежности на праве собственности движимого имущества, передаваемого в залог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Согласие на обработку персональных данных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 Документы, предоставляемые в отношении залогового имущества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Справка с указанием перечня залогового имущества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4.6.1. Документы, предоставляемые недвижимого имущества, передаваемого в залог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Документы, подтверждающие права на земельный участок под объектом недвижимости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Выписка из ЕГРН об основных характеристиках и зарегистрированных правах на дату не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ранее 30 календарных дней до даты подписания договора залога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4.6.2. Документы, предоставляемые в отношении автотранспортного средства/спецтехники и самоходных механизмов, передаваемых в залог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Паспорт транспортного средства / самоходной машины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Свидетельство о регистрации ТС / самоходной машины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Унифицированная форма ОС-1 (Акт о приеме-передаче объекта основных средств)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документы:</w:t>
            </w:r>
          </w:p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- договоры на приобретение имущества;</w:t>
            </w:r>
          </w:p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- документы на передачу имущества приобретателю или документы, устанавливающие факт перехода права собственности в соответствии с законом и/или договором.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4.6.3. Документы, предоставляемые в отношении технологического оборудования, передаваемого в залог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Унифицированная форма ОС-1 (Акт о приеме-передаче объекта основных средств)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rPr>
          <w:trHeight w:val="956"/>
        </w:trPr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rPr>
          <w:trHeight w:val="196"/>
        </w:trPr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4.6.4. Документы, предоставляемые в отношении государственных облигаций, облигаций или 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акций юридических лиц – третьих лиц, имеющих биржевое обращение, включенных в котировальный список ПАО «Московская биржа» 1 уровня, передаваемых в залог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4.6.5.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Документы, предоставляемые в отношении акций действующих юридических лиц – третьих лиц (в объеме не менее 25%), не имеющих биржевого обращения, а также долей участия в уставном капитале действующих юридических лиц – третьих лиц (в объеме не менее 25%), передаваемых в залог</w:t>
            </w:r>
            <w:proofErr w:type="gramEnd"/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акций, передаваемых в залог, на дату не ранее 6 месяцев до даты подписания договора залога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Бухгалтерская отчетность за два последних года, а также за все завершившиеся отчетные периоды текущего года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6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(если залогодатель и организация, доля в уставном капитале которой передается в залог / эмитент разные лица)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A1ADF" w:rsidTr="00877CDB">
        <w:tc>
          <w:tcPr>
            <w:tcW w:w="9001" w:type="dxa"/>
            <w:gridSpan w:val="5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5. Документы, подтверждающие полномочия лиц, подписывающих договоры по доверенности или заверяющих копии документов</w:t>
            </w:r>
          </w:p>
        </w:tc>
      </w:tr>
      <w:tr w:rsidR="007A1ADF" w:rsidTr="00877CDB">
        <w:tc>
          <w:tcPr>
            <w:tcW w:w="3588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Оформленные в соответствии с законодательством документы, подтверждающие полномочия лиц, подписывающих договоры по доверенности или заверяющих копии документов.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A1ADF" w:rsidRDefault="007A1ADF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</w:tbl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_____________________________________________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 Документы проекта (если не указано иное) должны быть подготовлены Заявителем в соответствии с требованиями настоящего Порядка и по формам, установленным Фондом и размещенным на его сайте.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 Заявитель до подписания договора займа передает в Фонд оригинал подписанного раздела «Выводы» финансовой модели.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 Перечень составляется на бланке Заявителя по форме Фонда, заверяется подписью уполномоченного лица и печатью. К перечню Заявитель прикладывает документы, подтверждающие приведенные в нем расходы. В качестве документов, подтверждающих ранее понесенные затраты, прилагаются договоры, платежные документы и иные документы, подтверждающие факт понесенных расходов и отнесение их к проекту.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> Фонд формирует и направляет Заявителю Основные условия предоставления займа, которые определяют существенные условия договора займа. Окончательное решение по условиям договора займа принимает Экспертный совет.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proofErr w:type="gramStart"/>
      <w:r>
        <w:rPr>
          <w:rFonts w:ascii="Times New Roman" w:hAnsi="Times New Roman"/>
          <w:sz w:val="20"/>
        </w:rPr>
        <w:t> В</w:t>
      </w:r>
      <w:proofErr w:type="gramEnd"/>
      <w:r>
        <w:rPr>
          <w:rFonts w:ascii="Times New Roman" w:hAnsi="Times New Roman"/>
          <w:sz w:val="20"/>
        </w:rPr>
        <w:t xml:space="preserve"> справке указывается следующая информация о </w:t>
      </w:r>
      <w:proofErr w:type="spellStart"/>
      <w:r>
        <w:rPr>
          <w:rFonts w:ascii="Times New Roman" w:hAnsi="Times New Roman"/>
          <w:sz w:val="20"/>
        </w:rPr>
        <w:t>бенефициарном</w:t>
      </w:r>
      <w:proofErr w:type="spellEnd"/>
      <w:r>
        <w:rPr>
          <w:rFonts w:ascii="Times New Roman" w:hAnsi="Times New Roman"/>
          <w:sz w:val="20"/>
        </w:rPr>
        <w:t xml:space="preserve"> владельце (</w:t>
      </w:r>
      <w:proofErr w:type="spellStart"/>
      <w:r>
        <w:rPr>
          <w:rFonts w:ascii="Times New Roman" w:hAnsi="Times New Roman"/>
          <w:sz w:val="20"/>
        </w:rPr>
        <w:t>бенефициарных</w:t>
      </w:r>
      <w:proofErr w:type="spellEnd"/>
      <w:r>
        <w:rPr>
          <w:rFonts w:ascii="Times New Roman" w:hAnsi="Times New Roman"/>
          <w:sz w:val="20"/>
        </w:rPr>
        <w:t xml:space="preserve"> владельцах): фамилия, имя, отчество, доля владения, гражданство, место жительства (страна постоянного пребывания).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</w:rPr>
        <w:t> Состав форм годовой отчетности определяется в соответствии со статьей 14 Федерального закона от 06.12.2011 № 402-ФЗ «О бухгалтерском учете». В составе бухгалтерской отчетности за завершившиеся отчетные периоды текущего года (1 квартал текущего года, 6 месяцев текущего года, 9 месяцев текущего года) необходимо предоставить бухгалтерский баланс и отчет о финансовых результатах. Также необходимо предоставить аудиторское заключение</w:t>
      </w:r>
      <w:proofErr w:type="gramStart"/>
      <w:r>
        <w:rPr>
          <w:rFonts w:ascii="Times New Roman" w:hAnsi="Times New Roman"/>
          <w:sz w:val="20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0"/>
        </w:rPr>
        <w:t>ия</w:t>
      </w:r>
      <w:proofErr w:type="spellEnd"/>
      <w:r>
        <w:rPr>
          <w:rFonts w:ascii="Times New Roman" w:hAnsi="Times New Roman"/>
          <w:sz w:val="20"/>
        </w:rPr>
        <w:t xml:space="preserve">) о бухгалтерской отчетности за два последних года, в случае </w:t>
      </w:r>
      <w:r>
        <w:rPr>
          <w:rFonts w:ascii="Times New Roman" w:hAnsi="Times New Roman"/>
          <w:sz w:val="20"/>
        </w:rPr>
        <w:lastRenderedPageBreak/>
        <w:t>если Заявитель согласно действующему законодательству подлежит обязательному аудиту, а также при наличии такового. Отчётность Заявителя за все отчетные периоды должна включать общую сумму амортизации, начисленную за отчётный период. Отчётность Заявителя на последнюю отчетную дату должна содержать расшифровки: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случае, если доля кредиторской и (или) дебиторской задолженности составляет более 10% валюты баланса – расшифровка такой задолженности с указанием наименований крупнейших (более 20% суммы задолженности) кредиторов (должников), суммы задолженности и даты образования;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просроченной (свыше 3 месяцев) кредиторской и (или) дебиторской задолженности с указанием кредиторов (должников), а также общей суммы просроченной дебиторской и (или) кредиторской задолженности (или справка об отсутствии таковой задолженности);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случае, если суммарная доля краткосрочных и долгосрочных финансовых вложений составляет более 10% валюты баланса – расшифровка таких вложений с указанием инструментов (контрагентов) и сумм вложений;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выручки в разрезе крупнейших (не менее 10% выручки) покупателей и видов продукции (с указанием выручки и долей по данным покупателям (видам продукции));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займов и кредитов (включая облигационные и вексельные) с указанием кредиторов, цели предоставления заемных средств, вида продукта (</w:t>
      </w:r>
      <w:proofErr w:type="spellStart"/>
      <w:r>
        <w:rPr>
          <w:rFonts w:ascii="Times New Roman" w:hAnsi="Times New Roman"/>
          <w:sz w:val="20"/>
        </w:rPr>
        <w:t>невозобновляемая</w:t>
      </w:r>
      <w:proofErr w:type="spellEnd"/>
      <w:r>
        <w:rPr>
          <w:rFonts w:ascii="Times New Roman" w:hAnsi="Times New Roman"/>
          <w:sz w:val="20"/>
        </w:rPr>
        <w:t>/возобновляемая кредитная линия, инвестиционный кредит и пр.), суммы по договору, суммы задолженности, сроков кредитования, графика погашения и уплаты процентов, валюты заимствования, процентной ставки, суммы просроченной задолженности;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е) </w:t>
      </w:r>
      <w:proofErr w:type="spellStart"/>
      <w:r>
        <w:rPr>
          <w:rFonts w:ascii="Times New Roman" w:hAnsi="Times New Roman"/>
          <w:sz w:val="20"/>
        </w:rPr>
        <w:t>забалансовых</w:t>
      </w:r>
      <w:proofErr w:type="spellEnd"/>
      <w:r>
        <w:rPr>
          <w:rFonts w:ascii="Times New Roman" w:hAnsi="Times New Roman"/>
          <w:sz w:val="20"/>
        </w:rPr>
        <w:t xml:space="preserve"> обязательств, включая информацию по залогам имущества и выданным поручительствам с указанием должников, сроков и объемов обязательств Заявителя (или справка об отсутствии таковых обязательств).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Годовая бухгалтерская отчетность предоставляется с отметкой налогового орган</w:t>
      </w:r>
      <w:proofErr w:type="gramStart"/>
      <w:r>
        <w:rPr>
          <w:rFonts w:ascii="Times New Roman" w:hAnsi="Times New Roman"/>
          <w:sz w:val="20"/>
        </w:rPr>
        <w:t>а о ее</w:t>
      </w:r>
      <w:proofErr w:type="gramEnd"/>
      <w:r>
        <w:rPr>
          <w:rFonts w:ascii="Times New Roman" w:hAnsi="Times New Roman"/>
          <w:sz w:val="20"/>
        </w:rPr>
        <w:t xml:space="preserve">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органа в указанных случаях не требуется. На этапе подписания договора предоставляется отчетность Заявителя за отчетные периоды, завершившиеся после подачи Заявки, и не представлявшаяся ранее.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</w:rPr>
        <w:t> Расчет величины чистых активов осуществляется согласно порядку, утвержденному Приказом Минфина России от 28.08.2014 № 84н «Об утверждении Порядка определения стоимости чистых активов».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proofErr w:type="gramStart"/>
      <w:r>
        <w:rPr>
          <w:rFonts w:ascii="Times New Roman" w:hAnsi="Times New Roman"/>
          <w:sz w:val="20"/>
        </w:rPr>
        <w:t> П</w:t>
      </w:r>
      <w:proofErr w:type="gramEnd"/>
      <w:r>
        <w:rPr>
          <w:rFonts w:ascii="Times New Roman" w:hAnsi="Times New Roman"/>
          <w:sz w:val="20"/>
        </w:rPr>
        <w:t>о форме, рекомендуемой приказом ФАС России от 26.06.2012 № 409 «Об утверждении Порядка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брокерам)»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</w:rPr>
        <w:t> Срок действия – в пределах 6 месяцев до даты подписания договора займа.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proofErr w:type="gramStart"/>
      <w:r>
        <w:rPr>
          <w:rFonts w:ascii="Times New Roman" w:hAnsi="Times New Roman"/>
          <w:sz w:val="20"/>
        </w:rPr>
        <w:t> В</w:t>
      </w:r>
      <w:proofErr w:type="gramEnd"/>
      <w:r>
        <w:rPr>
          <w:rFonts w:ascii="Times New Roman" w:hAnsi="Times New Roman"/>
          <w:sz w:val="20"/>
        </w:rPr>
        <w:t xml:space="preserve"> случае </w:t>
      </w:r>
      <w:proofErr w:type="spellStart"/>
      <w:r>
        <w:rPr>
          <w:rFonts w:ascii="Times New Roman" w:hAnsi="Times New Roman"/>
          <w:sz w:val="20"/>
        </w:rPr>
        <w:t>нераскрытия</w:t>
      </w:r>
      <w:proofErr w:type="spellEnd"/>
      <w:r>
        <w:rPr>
          <w:rFonts w:ascii="Times New Roman" w:hAnsi="Times New Roman"/>
          <w:sz w:val="20"/>
        </w:rPr>
        <w:t xml:space="preserve"> Заявителем ключевых исполнителей на момент принятия Фондом решения о предоставлении </w:t>
      </w:r>
      <w:proofErr w:type="spellStart"/>
      <w:r>
        <w:rPr>
          <w:rFonts w:ascii="Times New Roman" w:hAnsi="Times New Roman"/>
          <w:sz w:val="20"/>
        </w:rPr>
        <w:t>софинансирования</w:t>
      </w:r>
      <w:proofErr w:type="spellEnd"/>
      <w:r>
        <w:rPr>
          <w:rFonts w:ascii="Times New Roman" w:hAnsi="Times New Roman"/>
          <w:sz w:val="20"/>
        </w:rPr>
        <w:t xml:space="preserve"> проекта, Заявитель для согласования платежа с ключевым исполнителем со стороны Фонда обязан предоставить все документы, перечисленные в разделе 3 таблицы.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z w:val="20"/>
        </w:rPr>
        <w:t> Фонд перечисляет денежные средства на расчетный счет Заемщика после предоставления в Фонд оригинала банковской гарантии.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z w:val="20"/>
        </w:rPr>
        <w:t> Документы не предоставляются в отношении кредитных организаций, субъектов РФ, АО «Федеральная корпорация по развитию малого и среднего предпринимательства», региональных фондов содействия кредитованию МСП, институтов развития.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>
        <w:rPr>
          <w:rFonts w:ascii="Times New Roman" w:hAnsi="Times New Roman"/>
          <w:sz w:val="20"/>
        </w:rPr>
        <w:t> Справка должна содержать первоначальную стоимость постановки на учет объекта ОС с расшифровкой всех косвенных расходов (стоимости доставки, таможенных пошлин и сборов, налогов, стоимости пусконаладочных работ, шефмонтажа, сертификации, обучения и пр.), остаточную стоимость на отчетную дату.</w:t>
      </w:r>
    </w:p>
    <w:p w:rsidR="007A1ADF" w:rsidRDefault="007A1ADF" w:rsidP="007A1ADF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> Справка подписывается полномочным представителем Заявителя. В справке указывается: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 залоге недвижимого имущества Заявителя или рекомендованных им Залогодателей:</w:t>
      </w:r>
    </w:p>
    <w:p w:rsidR="007A1ADF" w:rsidRDefault="007A1ADF" w:rsidP="007A1ADF">
      <w:pPr>
        <w:numPr>
          <w:ilvl w:val="0"/>
          <w:numId w:val="2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имущества согласно выписке из ЕГРН,</w:t>
      </w:r>
    </w:p>
    <w:p w:rsidR="007A1ADF" w:rsidRDefault="007A1ADF" w:rsidP="007A1ADF">
      <w:pPr>
        <w:numPr>
          <w:ilvl w:val="0"/>
          <w:numId w:val="2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кадастровый номер согласно выписке из ЕГРН,</w:t>
      </w:r>
    </w:p>
    <w:p w:rsidR="007A1ADF" w:rsidRDefault="007A1ADF" w:rsidP="007A1ADF">
      <w:pPr>
        <w:numPr>
          <w:ilvl w:val="0"/>
          <w:numId w:val="2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 земельном участке, на котором расположены объекты, его кадастровый номер согласно выписке из ЕГРН и правовой статус (собственность или право аренды с указанием срока),</w:t>
      </w:r>
    </w:p>
    <w:p w:rsidR="007A1ADF" w:rsidRDefault="007A1ADF" w:rsidP="007A1ADF">
      <w:pPr>
        <w:numPr>
          <w:ilvl w:val="0"/>
          <w:numId w:val="2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Залогодателя,</w:t>
      </w:r>
    </w:p>
    <w:p w:rsidR="007A1ADF" w:rsidRDefault="007A1ADF" w:rsidP="007A1ADF">
      <w:pPr>
        <w:numPr>
          <w:ilvl w:val="0"/>
          <w:numId w:val="2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предварительная стоимость без учета НДС, если оценка не проведена,</w:t>
      </w:r>
    </w:p>
    <w:p w:rsidR="007A1ADF" w:rsidRDefault="007A1ADF" w:rsidP="007A1ADF">
      <w:pPr>
        <w:numPr>
          <w:ilvl w:val="0"/>
          <w:numId w:val="2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об имеющейся оценке имущества с указанием стоимости без учета НДС, если оценка производилась;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 залоге движимого имущества Заявителя или рекомендованных им Залогодателей:</w:t>
      </w:r>
    </w:p>
    <w:p w:rsidR="007A1ADF" w:rsidRDefault="007A1ADF" w:rsidP="007A1ADF">
      <w:pPr>
        <w:numPr>
          <w:ilvl w:val="0"/>
          <w:numId w:val="3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спецификация передаваемого в залог имущества или выписка согласно унифицированной форме ОС-1, марка, модель объекта,</w:t>
      </w:r>
    </w:p>
    <w:p w:rsidR="007A1ADF" w:rsidRDefault="007A1ADF" w:rsidP="007A1ADF">
      <w:pPr>
        <w:numPr>
          <w:ilvl w:val="0"/>
          <w:numId w:val="3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 выпуска,</w:t>
      </w:r>
    </w:p>
    <w:p w:rsidR="007A1ADF" w:rsidRDefault="007A1ADF" w:rsidP="007A1ADF">
      <w:pPr>
        <w:numPr>
          <w:ilvl w:val="0"/>
          <w:numId w:val="3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наименование Залогодателя,</w:t>
      </w:r>
    </w:p>
    <w:p w:rsidR="007A1ADF" w:rsidRDefault="007A1ADF" w:rsidP="007A1ADF">
      <w:pPr>
        <w:numPr>
          <w:ilvl w:val="0"/>
          <w:numId w:val="3"/>
        </w:numPr>
        <w:spacing w:after="0" w:line="240" w:lineRule="auto"/>
        <w:ind w:left="45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предварительная стоимость без учета НДС, если оценка не проведена,</w:t>
      </w:r>
    </w:p>
    <w:p w:rsidR="007A1ADF" w:rsidRDefault="007A1ADF" w:rsidP="007A1ADF">
      <w:pPr>
        <w:numPr>
          <w:ilvl w:val="0"/>
          <w:numId w:val="3"/>
        </w:numPr>
        <w:spacing w:after="0" w:line="240" w:lineRule="auto"/>
        <w:ind w:left="45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данные об имеющейся оценке имущества с указанием стоимости без учета НДС, если оценка производилась.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sectPr w:rsidR="007A1A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1ADF" w:rsidRDefault="007A1ADF" w:rsidP="007A1ADF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Приложение № 5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субъектов инвестиционной деятельности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Виды и требования к качеству основного обеспечения, 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принимаемого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Фондом по 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проектам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i/>
          <w:color w:val="000000"/>
          <w:kern w:val="2"/>
          <w:sz w:val="26"/>
          <w:szCs w:val="26"/>
          <w:lang w:eastAsia="hi-IN" w:bidi="hi-IN"/>
        </w:rPr>
        <w:t>Независимые гарантии и поручительства</w:t>
      </w:r>
    </w:p>
    <w:tbl>
      <w:tblPr>
        <w:tblStyle w:val="af1"/>
        <w:tblW w:w="5481" w:type="pct"/>
        <w:tblInd w:w="-885" w:type="dxa"/>
        <w:tblLook w:val="04A0" w:firstRow="1" w:lastRow="0" w:firstColumn="1" w:lastColumn="0" w:noHBand="0" w:noVBand="1"/>
      </w:tblPr>
      <w:tblGrid>
        <w:gridCol w:w="4537"/>
        <w:gridCol w:w="1102"/>
        <w:gridCol w:w="4852"/>
      </w:tblGrid>
      <w:tr w:rsidR="007A1ADF" w:rsidTr="00877CDB">
        <w:trPr>
          <w:tblHeader/>
        </w:trPr>
        <w:tc>
          <w:tcPr>
            <w:tcW w:w="4537" w:type="dxa"/>
            <w:shd w:val="clear" w:color="auto" w:fill="auto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Вид обеспечения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Дисконт,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 %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Условия принятия обеспечения</w:t>
            </w:r>
          </w:p>
        </w:tc>
      </w:tr>
      <w:tr w:rsidR="007A1ADF" w:rsidTr="00877CDB">
        <w:tc>
          <w:tcPr>
            <w:tcW w:w="4537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Независимые гарантии кредитных организаций</w:t>
            </w:r>
            <w:r>
              <w:rPr>
                <w:rFonts w:ascii="Times New Roman" w:hAnsi="Times New Roman"/>
                <w:sz w:val="20"/>
                <w:szCs w:val="26"/>
              </w:rPr>
              <w:t>, относящихся к одной из следующих категорий: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1) кредитные организации, имеющие рейтинг долгосрочной кредитоспособности минимум одного из ведущих международных рейтинговых агентств (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6"/>
              </w:rPr>
              <w:t>&amp;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Global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Ratings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Moody</w:t>
            </w:r>
            <w:r>
              <w:rPr>
                <w:rFonts w:ascii="Times New Roman" w:hAnsi="Times New Roman"/>
                <w:sz w:val="20"/>
                <w:szCs w:val="26"/>
              </w:rPr>
              <w:t>’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Investors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Service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Fitch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Ratings</w:t>
            </w:r>
            <w:r>
              <w:rPr>
                <w:rFonts w:ascii="Times New Roman" w:hAnsi="Times New Roman"/>
                <w:sz w:val="20"/>
                <w:szCs w:val="26"/>
              </w:rPr>
              <w:t>) не более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чем на две ступени ниже суверенного рейтинга Российской Федерации в национальной или иностранной валюте;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2) кредитные организации, соответствующие следующим критериям</w:t>
            </w:r>
            <w:r>
              <w:rPr>
                <w:rStyle w:val="a4"/>
                <w:rFonts w:ascii="Times New Roman" w:hAnsi="Times New Roman"/>
                <w:sz w:val="20"/>
                <w:szCs w:val="26"/>
              </w:rPr>
              <w:endnoteReference w:id="1"/>
            </w:r>
            <w:r>
              <w:rPr>
                <w:rFonts w:ascii="Times New Roman" w:hAnsi="Times New Roman"/>
                <w:sz w:val="20"/>
                <w:szCs w:val="26"/>
              </w:rPr>
              <w:t>: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наличие генеральной лицензии Центрального Банка РФ;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собственные средства (капитал) в размере не менее 25 млрд. руб.;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участие в системе обязательного страхования вкладов;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включение в перечень кредитных организаций, публикуемый на официальном сайте Центрального Банка Российской Федерации в разделе «Информация по кредитным организациям»</w:t>
            </w:r>
            <w:r>
              <w:rPr>
                <w:rStyle w:val="a4"/>
                <w:rFonts w:ascii="Times New Roman" w:hAnsi="Times New Roman"/>
                <w:sz w:val="20"/>
                <w:szCs w:val="26"/>
              </w:rPr>
              <w:endnoteReference w:id="2"/>
            </w:r>
            <w:r>
              <w:rPr>
                <w:rFonts w:ascii="Times New Roman" w:hAnsi="Times New Roman"/>
                <w:sz w:val="20"/>
                <w:szCs w:val="26"/>
              </w:rPr>
              <w:t>.</w:t>
            </w:r>
          </w:p>
        </w:tc>
        <w:tc>
          <w:tcPr>
            <w:tcW w:w="1102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852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Независимая гарантия кредитной организации должна отвечать условиям: безотзывная, срок действия гарантии должен превышать срок обязательства по возврату займа на 1 месяц, обязательства гаранта могут быть уменьшены на любую сумму, списанную бенефициаром по гарантии.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если условиями договора займа предусмотрена последующая замена гарантии на залог имущества (в том числе оборудования), 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менее, чем на 6 месяцев.</w:t>
            </w:r>
          </w:p>
        </w:tc>
      </w:tr>
      <w:tr w:rsidR="007A1ADF" w:rsidTr="00877CDB">
        <w:tc>
          <w:tcPr>
            <w:tcW w:w="4537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Гарантии и поручительства АО «Федеральная корпорация по развитию малого и среднего предпринимательства», региональных фондов содействия кредитованию МСП.</w:t>
            </w:r>
          </w:p>
        </w:tc>
        <w:tc>
          <w:tcPr>
            <w:tcW w:w="1102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852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Гарантия или поручительство должны быть безотзывными, предусматривать солидарную, либо субсидиарную ответственность. </w:t>
            </w:r>
          </w:p>
        </w:tc>
      </w:tr>
      <w:tr w:rsidR="007A1ADF" w:rsidTr="00877CDB">
        <w:tc>
          <w:tcPr>
            <w:tcW w:w="4537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Поручительства и независимые гарантии юридических лиц</w:t>
            </w:r>
            <w:r>
              <w:rPr>
                <w:rStyle w:val="a4"/>
                <w:rFonts w:ascii="Times New Roman" w:hAnsi="Times New Roman"/>
                <w:sz w:val="20"/>
                <w:szCs w:val="26"/>
              </w:rPr>
              <w:endnoteReference w:id="3"/>
            </w:r>
            <w:r>
              <w:rPr>
                <w:rFonts w:ascii="Times New Roman" w:hAnsi="Times New Roman"/>
                <w:sz w:val="20"/>
                <w:szCs w:val="26"/>
              </w:rPr>
              <w:t xml:space="preserve"> при условии, что их финансовое положение может быть оценено Фондом как устойчивое.</w:t>
            </w:r>
          </w:p>
        </w:tc>
        <w:tc>
          <w:tcPr>
            <w:tcW w:w="1102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852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Поручительство юридического лица должно предусматривать солидарную ответственность поручителя, срок действия поручительства должен превышать срок обязательства по возврату займа на 1 год.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Независимая гарантия юридического лица должна отвечать условиям: безотзывная, срок действия гарантии должен превышать срок обязательства по возврату займа на 1 месяц, обязательства гаранта могут быть уменьшены на любую сумму, списанную бенефициаром по гарантии.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если условиями договора займа </w:t>
            </w:r>
            <w:r>
              <w:rPr>
                <w:rFonts w:ascii="Times New Roman" w:hAnsi="Times New Roman"/>
                <w:sz w:val="20"/>
                <w:szCs w:val="26"/>
              </w:rPr>
              <w:lastRenderedPageBreak/>
              <w:t>предусмотрена последующая замена гарантии (поручительства) на залог имущества (в том числе оборудования), 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менее, чем на 6 месяцев.</w:t>
            </w:r>
          </w:p>
        </w:tc>
      </w:tr>
    </w:tbl>
    <w:p w:rsidR="007A1ADF" w:rsidRDefault="007A1ADF" w:rsidP="007A1A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1ADF" w:rsidRDefault="007A1ADF" w:rsidP="007A1AD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Залог имущества и имущественных прав (за исключением имущества, перечисленного в Приложении № 6 к настоящему Порядку)</w:t>
      </w:r>
    </w:p>
    <w:tbl>
      <w:tblPr>
        <w:tblStyle w:val="af1"/>
        <w:tblW w:w="10491" w:type="dxa"/>
        <w:tblInd w:w="-885" w:type="dxa"/>
        <w:tblLook w:val="04A0" w:firstRow="1" w:lastRow="0" w:firstColumn="1" w:lastColumn="0" w:noHBand="0" w:noVBand="1"/>
      </w:tblPr>
      <w:tblGrid>
        <w:gridCol w:w="4395"/>
        <w:gridCol w:w="1753"/>
        <w:gridCol w:w="4343"/>
      </w:tblGrid>
      <w:tr w:rsidR="007A1ADF" w:rsidTr="00877CDB">
        <w:trPr>
          <w:tblHeader/>
        </w:trPr>
        <w:tc>
          <w:tcPr>
            <w:tcW w:w="4395" w:type="dxa"/>
            <w:shd w:val="clear" w:color="auto" w:fill="auto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Вид обеспечения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Дисконт, </w:t>
            </w:r>
          </w:p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в %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Условия принятия обеспечения</w:t>
            </w: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Драгоценные металлы, в стандартных и (или) мерных слитках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соответствующие государственным и отраслевым стандартам Российской Федерации и международным стандартам качества, а также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драгоценные металлы, отражаемые на обезличенных металлических счетах.</w:t>
            </w:r>
          </w:p>
        </w:tc>
        <w:tc>
          <w:tcPr>
            <w:tcW w:w="1753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Обязательное хранение закладываемого имущества в кредитных организациях, в которых могут быть открыты счета и размещены временно свободные денежные средства Фонда.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Перечень кредитных организаций для открытия счетов и размещения временно свободных денежных средств определяется приказом руководителя Фонда.</w:t>
            </w: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Движимые и недвижимые имущественные активы.</w:t>
            </w:r>
          </w:p>
        </w:tc>
        <w:tc>
          <w:tcPr>
            <w:tcW w:w="1753" w:type="dxa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Жилая недвижимость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(квартиры, апартаменты, многоквартирные жилые дома (комплексы), коттеджи, </w:t>
            </w:r>
            <w:proofErr w:type="spellStart"/>
            <w:r>
              <w:rPr>
                <w:rFonts w:ascii="Times New Roman" w:hAnsi="Times New Roman"/>
                <w:sz w:val="20"/>
                <w:szCs w:val="26"/>
              </w:rPr>
              <w:t>таунхаусы</w:t>
            </w:r>
            <w:proofErr w:type="spellEnd"/>
            <w:r>
              <w:rPr>
                <w:rFonts w:ascii="Times New Roman" w:hAnsi="Times New Roman"/>
                <w:sz w:val="20"/>
                <w:szCs w:val="26"/>
              </w:rPr>
              <w:t xml:space="preserve"> и др.).</w:t>
            </w:r>
          </w:p>
        </w:tc>
        <w:tc>
          <w:tcPr>
            <w:tcW w:w="1753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20%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Не принимается в залог недвижимость граждан, на которую в соответствии с законодательством Российской Федерации не может быть обращено взыскание.</w:t>
            </w: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6"/>
              </w:rPr>
              <w:t>Коммерческая недвижимость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</w:t>
            </w:r>
            <w:proofErr w:type="spellStart"/>
            <w:r>
              <w:rPr>
                <w:rFonts w:ascii="Times New Roman" w:hAnsi="Times New Roman"/>
                <w:sz w:val="20"/>
                <w:szCs w:val="26"/>
              </w:rPr>
              <w:t>машиноместа</w:t>
            </w:r>
            <w:proofErr w:type="spellEnd"/>
            <w:r>
              <w:rPr>
                <w:rFonts w:ascii="Times New Roman" w:hAnsi="Times New Roman"/>
                <w:sz w:val="20"/>
                <w:szCs w:val="26"/>
              </w:rPr>
              <w:t>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фитнес-центры, АЗС (включая земельный участок под объектом, сооружения и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оборудование) и др.);</w:t>
            </w:r>
            <w:proofErr w:type="gramEnd"/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права долгосрочной аренды на земельные участки, на которых расположены указанные объекты.</w:t>
            </w:r>
          </w:p>
        </w:tc>
        <w:tc>
          <w:tcPr>
            <w:tcW w:w="1753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25%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Промышленная недвижимость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(здания, сооружения, склады, иные объекты недвижимого имущества, предназначенные для выпуска промышленной продукции и (или) технологически задействованные в производственной деятельности, включая земельный участок под объектом);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права долгосрочной аренды на земельные участки, на которых расположены указанные объекты.</w:t>
            </w:r>
          </w:p>
        </w:tc>
        <w:tc>
          <w:tcPr>
            <w:tcW w:w="1753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30%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</w:t>
            </w:r>
            <w:r>
              <w:rPr>
                <w:rFonts w:ascii="Times New Roman" w:hAnsi="Times New Roman"/>
                <w:sz w:val="20"/>
                <w:szCs w:val="26"/>
              </w:rPr>
              <w:lastRenderedPageBreak/>
              <w:t>земельные участки из состава земель населенных пунктов свободные и застроенные</w:t>
            </w:r>
          </w:p>
        </w:tc>
        <w:tc>
          <w:tcPr>
            <w:tcW w:w="1753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lastRenderedPageBreak/>
              <w:t>40%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lastRenderedPageBreak/>
              <w:t>Оборудование и транспортные средства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(технологическое оборудование, автотранспорт, спецтехника и самоходные механизмы, прочие машины и оборудование).</w:t>
            </w:r>
          </w:p>
        </w:tc>
        <w:tc>
          <w:tcPr>
            <w:tcW w:w="1753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30%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Оборудование должно быть полностью оплачено, принято к бухгалтерскому учету и введено в эксплуатацию.</w:t>
            </w: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Объекты незавершенного строительства</w:t>
            </w:r>
            <w:r>
              <w:rPr>
                <w:rFonts w:ascii="Times New Roman" w:hAnsi="Times New Roman"/>
                <w:sz w:val="20"/>
                <w:szCs w:val="26"/>
              </w:rPr>
              <w:t>;</w:t>
            </w:r>
          </w:p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права долгосрочной аренды на земельные участки, на которых расположены указанные объекты.</w:t>
            </w:r>
          </w:p>
        </w:tc>
        <w:tc>
          <w:tcPr>
            <w:tcW w:w="1753" w:type="dxa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50%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Право собственности на объект незавершенного строительства должно быть оформлено.</w:t>
            </w: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Акции юридических лиц, имеющие биржевое обращение.</w:t>
            </w:r>
          </w:p>
        </w:tc>
        <w:tc>
          <w:tcPr>
            <w:tcW w:w="1753" w:type="dxa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Включенные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в котировальный список ПАО Московская биржа 1 уровня.</w:t>
            </w:r>
          </w:p>
        </w:tc>
        <w:tc>
          <w:tcPr>
            <w:tcW w:w="1753" w:type="dxa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с учетом размера портфеля и волатильности на соответствующем сроке, но не менее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25%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Иные акции, допущенные к торгам ПАО Московская биржа.</w:t>
            </w:r>
          </w:p>
        </w:tc>
        <w:tc>
          <w:tcPr>
            <w:tcW w:w="1753" w:type="dxa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с учетом размера портфеля и волатильности на соответствующем сроке, но не менее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40%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7A1ADF" w:rsidTr="00877CDB">
        <w:tc>
          <w:tcPr>
            <w:tcW w:w="4395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Акции юридических лиц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не имеющие биржевого обращения, а также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доли участия в уставном капитале юридических лиц.</w:t>
            </w:r>
          </w:p>
        </w:tc>
        <w:tc>
          <w:tcPr>
            <w:tcW w:w="1753" w:type="dxa"/>
            <w:vAlign w:val="center"/>
          </w:tcPr>
          <w:p w:rsidR="007A1ADF" w:rsidRDefault="007A1ADF" w:rsidP="00877CDB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с учетом размера портфеля (доли в уставном капитале), но не менее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40%</w:t>
            </w:r>
          </w:p>
        </w:tc>
        <w:tc>
          <w:tcPr>
            <w:tcW w:w="4343" w:type="dxa"/>
          </w:tcPr>
          <w:p w:rsidR="007A1ADF" w:rsidRDefault="007A1ADF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Акции (доли) юридических лиц принимаются в залог в объеме не менее 25% уставного капитала при условии, что финансовое положение данных юридических лиц может быть оценено как устойчивое.</w:t>
            </w:r>
          </w:p>
        </w:tc>
      </w:tr>
    </w:tbl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положение юридического лица</w:t>
      </w:r>
      <w:r>
        <w:rPr>
          <w:rStyle w:val="a4"/>
          <w:rFonts w:ascii="Times New Roman" w:hAnsi="Times New Roman"/>
          <w:sz w:val="26"/>
          <w:szCs w:val="26"/>
        </w:rPr>
        <w:endnoteReference w:id="4"/>
      </w:r>
      <w:r>
        <w:rPr>
          <w:rFonts w:ascii="Times New Roman" w:hAnsi="Times New Roman"/>
          <w:sz w:val="26"/>
          <w:szCs w:val="26"/>
        </w:rPr>
        <w:t xml:space="preserve"> может быть оценено как устойчивое</w:t>
      </w:r>
      <w:r>
        <w:rPr>
          <w:rStyle w:val="a4"/>
          <w:rFonts w:ascii="Times New Roman" w:hAnsi="Times New Roman"/>
          <w:sz w:val="26"/>
          <w:szCs w:val="26"/>
        </w:rPr>
        <w:endnoteReference w:id="5"/>
      </w:r>
      <w:r>
        <w:rPr>
          <w:rFonts w:ascii="Times New Roman" w:hAnsi="Times New Roman"/>
          <w:sz w:val="26"/>
          <w:szCs w:val="26"/>
        </w:rPr>
        <w:t xml:space="preserve"> при одновременном соблюдении следующих условий: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показателя Чистый долг (</w:t>
      </w:r>
      <w:r>
        <w:rPr>
          <w:rFonts w:ascii="Times New Roman" w:hAnsi="Times New Roman"/>
          <w:sz w:val="26"/>
          <w:szCs w:val="26"/>
          <w:lang w:val="en-US"/>
        </w:rPr>
        <w:t>EBITDA</w:t>
      </w:r>
      <w:r>
        <w:rPr>
          <w:rFonts w:ascii="Times New Roman" w:hAnsi="Times New Roman"/>
          <w:sz w:val="26"/>
          <w:szCs w:val="26"/>
        </w:rPr>
        <w:t>)</w:t>
      </w:r>
      <w:r>
        <w:rPr>
          <w:rStyle w:val="a4"/>
          <w:rFonts w:ascii="Times New Roman" w:hAnsi="Times New Roman"/>
          <w:sz w:val="26"/>
          <w:szCs w:val="26"/>
          <w:lang w:val="en-US"/>
        </w:rPr>
        <w:endnoteReference w:id="6"/>
      </w:r>
      <w:r>
        <w:rPr>
          <w:rFonts w:ascii="Times New Roman" w:hAnsi="Times New Roman"/>
          <w:sz w:val="26"/>
          <w:szCs w:val="26"/>
        </w:rPr>
        <w:t xml:space="preserve"> – не более 6 за два последних квартала;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выручки от реализации за последний завершенный финансовый год или за последний отчетный период текущего финансового года должен составлять не менее суммы займа и процентов, подлежащих уплате за весь период пользования займом;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существенных (более 15%) отрицательных изменений в динамике следующих показателей: выручка от реализации, прибыль от продаж, валюта баланса.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годом, а также последнего отчетного периода текущего финансового года с аналогичным периодом предыдущего года.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годом, а также последнего отчетного периода текущего финансового года – с предшествующим ему отчетным периодом;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бухгалтерская отчетность юридического лица за последний завершенный финансовый год должна сопровождаться аудиторским заключением (в случаях, если составление бухгалтерской (финансовой) отчетности предусмотрено </w:t>
      </w:r>
      <w:r>
        <w:rPr>
          <w:rFonts w:ascii="Times New Roman" w:hAnsi="Times New Roman"/>
          <w:sz w:val="26"/>
          <w:szCs w:val="26"/>
        </w:rPr>
        <w:lastRenderedPageBreak/>
        <w:t>законодательством Российской Федерации). Аудиторское заключение не должно содержать отрицательного мнения аудитора или отказа от выражения мнения;</w:t>
      </w:r>
    </w:p>
    <w:p w:rsidR="007A1ADF" w:rsidRDefault="007A1ADF" w:rsidP="007A1A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юридическое лицо не находится в процессе ликвидации (банкротства).</w:t>
      </w:r>
    </w:p>
    <w:p w:rsidR="007A1ADF" w:rsidRDefault="007A1ADF" w:rsidP="007A1ADF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sectPr w:rsidR="007A1ADF">
          <w:headerReference w:type="first" r:id="rId14"/>
          <w:endnotePr>
            <w:numFmt w:val="decimal"/>
            <w:numRestart w:val="eachSect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6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субъектов инвестиционной деятельности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Виды дополнительного обеспечения, 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принимаемого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Фондом по 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проектам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 Поручительства физических лиц.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 Приобретаемое в процессе реализации проекта имущество, не отвечающее требованиям отнесения к основному обеспечению.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 Акции, облигации, доли участия в уставном капитале юридических лиц, не отвечающие требованиям отнесения к основному обеспечению.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 Другие виды обеспечения, которые по результатам оценки их качества не могут быть отнесены к основному обеспечению.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7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субъектов инвестиционной деятельности</w:t>
      </w: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имущества, не принимаемого Фондом в качестве обеспечения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 Имущество, залог которого ограничен или запрещен законом (статья 336 Гражданского кодекса Российской Федерации):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объекты гражданских прав, ограниченные в обороте (статья 129 Гражданского кодекса Российской Федерации);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имущество, которое не может свободно отчуждаться или переходить от одного лица к другому (пункт 1 статьи 129 Гражданского кодекса Российской Федерации);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- виды объектов гражданских прав, которые могут принадлежать лишь определенным участникам оборота либо совершение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сделок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с которыми допускается по специальному разрешению (пункт 2 статьи 129 Гражданского кодекса Российской Федерации).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 Имущество, свободная реализация которого запрещена в соответствии с законодательством Российской Федерации: вооружение, боеприпасы, военная техника, все виды ракетного топлива, ракетно-космические комплексы, системы связи и управления военного назначения и т.д.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 Земельные участки, перечисленные в статье 27 Земельного кодекса Российской Федерации: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находящиеся в государственной или муниципальной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собственности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следующие земельные участки: в пределах особо охраняемых природных территорий, из состава земель лесного фонда, в пределах которых расположены водные объекты, находящиеся в государственной или муниципальной собственности,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музеями-заповедниками, предоставленные для обеспечения обороны и безопасности, оборонной промышленности, таможенных нужд, занятые объектами космической инфраструктуры и т.д.;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изъятые из оборота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парками,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органы, зданиями, сооружениями, в которых размещены военные суды, объектами организаций федеральной службы безопасности, объектами организаций органов государственной охраны, объектами использования атомной энергии, пунктами хранения ядерных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материалов и радиоактивных веществ, объектами, в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соответствии с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видами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деятельности которых созданы закрытые административно-территориальные образования, объектами учреждений и органов Федеральной службы исполнения наказаний и т.д.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</w:t>
      </w:r>
      <w: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Земельные участки, относящиеся к лесному фонду (статья 8 Лесного кодекса Российской Федерации).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 Участки недр (статья 1.2 Закона Российской Федерации от 21.02.1992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/>
        <w:t>№ 2359-1 «О недрах»).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 Часть земельного участка, площадь которого меньше минимального размера, установленного нормативными актами Чувашской Республики и нормативными актами органов местного самоуправления для земель различного целевого назначения и разрешенного использования (статья 63 Федерального закона от 16.07.1998 № 102-ФЗ «Об ипотеке (залоге недвижимости)»).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 Доли в праве собственности на земельный участок (статья 62 Федерального закона от 16.07.1998 № 102-ФЗ «Об ипотеке (залоге недвижимости)»), кроме случая залога доли в праве собственности на земельный участок одновременно с залогом здания, сооружения, помещения (статья 69 Федерального закона от 16.07.1998 № 102-ФЗ «Об ипотеке (залоге недвижимости)»).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 Объект концессионного соглашения (часть 17 статьи 3 Федерального закона от 21.07.2005 № 115-ФЗ «О концессионных соглашениях»).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 Недвижимое имущество граждан, на которое в соответствии с законодательством не может быть обращено взыскание (статья 446 Гражданского процессуального кодекса Российской Федерации).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10. 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Другие объекты гражданских прав, на которые в соответствии с законом не может быть обращено взыскание, изъятые из оборота, свободная реализация которых запрещена.</w:t>
      </w:r>
      <w:proofErr w:type="gramEnd"/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11. Охраняемые результаты интеллектуальной деятельности и приравненные к ним средства индивидуализации (интеллектуальная собственность).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 Права пользования (аренда) имуществом, за исключением случаев, прямо указанных в настоящем Порядке.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 Обязательные права (право требования) по договорам (контрактам).</w:t>
      </w:r>
    </w:p>
    <w:p w:rsidR="007A1ADF" w:rsidRDefault="007A1ADF" w:rsidP="007A1AD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 8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субъектов инвестиционной деятельности</w:t>
      </w:r>
    </w:p>
    <w:p w:rsidR="007A1ADF" w:rsidRDefault="007A1ADF" w:rsidP="007A1AD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A1ADF" w:rsidRDefault="007A1ADF" w:rsidP="007A1A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Требования к организациям, осуществляющим специализированную деятельность по экспертизе</w:t>
      </w:r>
    </w:p>
    <w:p w:rsidR="007A1ADF" w:rsidRDefault="007A1ADF" w:rsidP="007A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A1ADF" w:rsidRDefault="007A1ADF" w:rsidP="007A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1. Деятельность организации в области проведения предметной научной, научно-практической, исследовательской работы в сфере реализации проекта, либо финансово-экономической, правовой экспертизы – не менее 3 (Трех) лет.</w:t>
      </w:r>
    </w:p>
    <w:p w:rsidR="007A1ADF" w:rsidRDefault="007A1ADF" w:rsidP="007A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2. Опыт проведения экспертиз проектов в сфере сельского хозяйства и агропромышленного комплекса.</w:t>
      </w:r>
    </w:p>
    <w:p w:rsidR="007A1ADF" w:rsidRDefault="007A1ADF" w:rsidP="007A1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3. Наличие как минимум 3 (Трех) экспертов (на основании трудового или гражданско-правового договора), имеющих диплом о наличии профильного высшего образования и стаж не менее 3 (Трех) лет в предметной сфере проведения экспертизы на исследовательских или инженерных должностях или на должности, предполагающей проведение самостоятельной экспертизы проектов, в производственных, инвестиционных или консалтинговых компаниях.</w:t>
      </w:r>
    </w:p>
    <w:p w:rsidR="007A1ADF" w:rsidRDefault="007A1ADF" w:rsidP="007A1ADF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7A1ADF" w:rsidRDefault="007A1ADF" w:rsidP="007A1ADF">
      <w:pPr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9</w:t>
      </w:r>
    </w:p>
    <w:p w:rsidR="007A1ADF" w:rsidRDefault="007A1ADF" w:rsidP="007A1ADF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субъектов инвестиционной деятельности</w:t>
      </w:r>
    </w:p>
    <w:p w:rsidR="007A1ADF" w:rsidRDefault="007A1ADF" w:rsidP="007A1ADF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Институты развития, </w:t>
      </w:r>
    </w:p>
    <w:p w:rsidR="007A1ADF" w:rsidRDefault="007A1ADF" w:rsidP="007A1AD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осуществляющие совместно с Фондом финансирование проекта и/или предоставляющие обеспечение, имеющие право на последующий залог имущества, принятого Фондом в качестве Основного обеспечения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Акционерное общество «Федеральная корпорация по развитию малого и среднего предпринимательства». </w:t>
      </w:r>
    </w:p>
    <w:p w:rsidR="007A1ADF" w:rsidRDefault="007A1ADF" w:rsidP="007A1A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 Автономная некоммерческая организация «Гарантийный фонд Чувашской Республики». </w:t>
      </w:r>
    </w:p>
    <w:p w:rsidR="00385B45" w:rsidRDefault="00385B45"/>
    <w:sectPr w:rsidR="00385B4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DF" w:rsidRDefault="007A1ADF" w:rsidP="007A1ADF">
      <w:pPr>
        <w:spacing w:after="0" w:line="240" w:lineRule="auto"/>
      </w:pPr>
      <w:r>
        <w:separator/>
      </w:r>
    </w:p>
  </w:endnote>
  <w:endnote w:type="continuationSeparator" w:id="0">
    <w:p w:rsidR="007A1ADF" w:rsidRDefault="007A1ADF" w:rsidP="007A1ADF">
      <w:pPr>
        <w:spacing w:after="0" w:line="240" w:lineRule="auto"/>
      </w:pPr>
      <w:r>
        <w:continuationSeparator/>
      </w:r>
    </w:p>
  </w:endnote>
  <w:endnote w:id="1">
    <w:p w:rsidR="007A1ADF" w:rsidRDefault="007A1ADF" w:rsidP="007A1ADF">
      <w:pPr>
        <w:pStyle w:val="a7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Критерии в соответствии с пунктом 11 Правил инвестирования временно свободных средств государственной корпорации, государственной компании, утвержденных постановлением Правительства Российской Федерации от 21.12.2011 № 1080.</w:t>
      </w:r>
    </w:p>
  </w:endnote>
  <w:endnote w:id="2">
    <w:p w:rsidR="007A1ADF" w:rsidRDefault="007A1ADF" w:rsidP="007A1ADF">
      <w:pPr>
        <w:pStyle w:val="a7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Перечень кредитных организаций, имеющих право на открытие счетов и покрытых (депонированных) аккредитивов, заключение договоров банковского счета и договоров банковского вклада (депозита) с хозяйственными обществами, имеющими стратегическое значение для оборонно-промышленного комплекса и безопасности Российской Федерации, а также обществами, находящимися под их прямым или косвенным контролем, по основаниям, предусмотренным частью 1 статьи 2 Федерального закона Российской Федерации от 21.07.2014 № 213-ФЗ «Об открытии</w:t>
      </w:r>
      <w:proofErr w:type="gramEnd"/>
      <w:r>
        <w:rPr>
          <w:rFonts w:ascii="Times New Roman" w:hAnsi="Times New Roman"/>
        </w:rPr>
        <w:t xml:space="preserve">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</w:endnote>
  <w:endnote w:id="3">
    <w:p w:rsidR="007A1ADF" w:rsidRDefault="007A1ADF" w:rsidP="007A1ADF">
      <w:pPr>
        <w:pStyle w:val="a7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Здесь к юридическим лицам не относятся инвестиционные и финансовые компании, страховые организации, биржи, депозитарии и банки.</w:t>
      </w:r>
    </w:p>
  </w:endnote>
  <w:endnote w:id="4">
    <w:p w:rsidR="007A1ADF" w:rsidRDefault="007A1ADF" w:rsidP="007A1ADF">
      <w:pPr>
        <w:pStyle w:val="a7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 исключением кредитных организаций.</w:t>
      </w:r>
    </w:p>
  </w:endnote>
  <w:endnote w:id="5">
    <w:p w:rsidR="007A1ADF" w:rsidRDefault="007A1ADF" w:rsidP="007A1ADF">
      <w:pPr>
        <w:pStyle w:val="a7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Анализ финансового положения осуществляется на основании бухгалтерской (финансовой) отчетности компании, подготовленной в соответствии с требованиями законодательства Российской Федерации, в том числе консолидированной финансовой отчетности в случае, если ее составление предусмотрено требованиями федеральных законов.</w:t>
      </w:r>
    </w:p>
  </w:endnote>
  <w:endnote w:id="6">
    <w:p w:rsidR="007A1ADF" w:rsidRDefault="007A1ADF" w:rsidP="007A1ADF">
      <w:pPr>
        <w:pStyle w:val="a7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Показатель Чистый долг (</w:t>
      </w:r>
      <w:r>
        <w:rPr>
          <w:rFonts w:ascii="Times New Roman" w:hAnsi="Times New Roman"/>
          <w:lang w:val="en-US"/>
        </w:rPr>
        <w:t>EBITDA</w:t>
      </w:r>
      <w:r>
        <w:rPr>
          <w:rFonts w:ascii="Times New Roman" w:hAnsi="Times New Roman"/>
        </w:rPr>
        <w:t xml:space="preserve">) рассчитывается в соответствии со следующей формулой: (долгосрочные кредиты и </w:t>
      </w:r>
      <w:proofErr w:type="gramStart"/>
      <w:r>
        <w:rPr>
          <w:rFonts w:ascii="Times New Roman" w:hAnsi="Times New Roman"/>
        </w:rPr>
        <w:t>займы</w:t>
      </w:r>
      <w:proofErr w:type="gramEnd"/>
      <w:r>
        <w:rPr>
          <w:rFonts w:ascii="Times New Roman" w:hAnsi="Times New Roman"/>
        </w:rPr>
        <w:t xml:space="preserve"> + краткосрочные кредиты и займы – денежные средства и денежные эквиваленты) / (прибыль до налогообложения без учета разовых (чрезвычайных) доходов и расходов за прошедшие 4 квартала + проценты к уплате за прошедшие 4 квартала – проценты к получению за последние 4 квартала + амортизация за прошедшие 4 квартала).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DF" w:rsidRDefault="007A1AD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DF" w:rsidRDefault="007A1AD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DF" w:rsidRDefault="007A1AD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DF" w:rsidRDefault="007A1ADF" w:rsidP="007A1ADF">
      <w:pPr>
        <w:spacing w:after="0" w:line="240" w:lineRule="auto"/>
      </w:pPr>
      <w:r>
        <w:separator/>
      </w:r>
    </w:p>
  </w:footnote>
  <w:footnote w:type="continuationSeparator" w:id="0">
    <w:p w:rsidR="007A1ADF" w:rsidRDefault="007A1ADF" w:rsidP="007A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DF" w:rsidRDefault="007A1A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DF" w:rsidRDefault="007A1ADF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57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DF" w:rsidRDefault="007A1AD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221749849"/>
    </w:sdtPr>
    <w:sdtContent>
      <w:p w:rsidR="007A1ADF" w:rsidRDefault="007A1ADF">
        <w:pPr>
          <w:pStyle w:val="ab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53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ACE"/>
    <w:multiLevelType w:val="multilevel"/>
    <w:tmpl w:val="5BE47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C46F4"/>
    <w:multiLevelType w:val="multilevel"/>
    <w:tmpl w:val="5F3C4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40CED"/>
    <w:multiLevelType w:val="multilevel"/>
    <w:tmpl w:val="6D440CED"/>
    <w:lvl w:ilvl="0">
      <w:start w:val="1"/>
      <w:numFmt w:val="bullet"/>
      <w:suff w:val="space"/>
      <w:lvlText w:val=""/>
      <w:lvlJc w:val="left"/>
      <w:pPr>
        <w:ind w:left="1072" w:hanging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17"/>
    <w:rsid w:val="00385B45"/>
    <w:rsid w:val="00487117"/>
    <w:rsid w:val="007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sid w:val="007A1ADF"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sid w:val="007A1ADF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sid w:val="007A1ADF"/>
    <w:pPr>
      <w:suppressAutoHyphens/>
      <w:spacing w:after="0" w:line="240" w:lineRule="auto"/>
    </w:pPr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7A1ADF"/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paragraph" w:styleId="a7">
    <w:name w:val="endnote text"/>
    <w:basedOn w:val="a"/>
    <w:link w:val="a8"/>
    <w:uiPriority w:val="99"/>
    <w:unhideWhenUsed/>
    <w:qFormat/>
    <w:rsid w:val="007A1AD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qFormat/>
    <w:rsid w:val="007A1ADF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qFormat/>
    <w:rsid w:val="007A1ADF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customStyle="1" w:styleId="aa">
    <w:name w:val="Текст сноски Знак"/>
    <w:basedOn w:val="a0"/>
    <w:link w:val="a9"/>
    <w:uiPriority w:val="99"/>
    <w:semiHidden/>
    <w:qFormat/>
    <w:rsid w:val="007A1AD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paragraph" w:styleId="ab">
    <w:name w:val="header"/>
    <w:basedOn w:val="a"/>
    <w:link w:val="ac"/>
    <w:uiPriority w:val="99"/>
    <w:unhideWhenUsed/>
    <w:qFormat/>
    <w:rsid w:val="007A1A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7A1ADF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qFormat/>
    <w:rsid w:val="007A1ADF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semiHidden/>
    <w:qFormat/>
    <w:rsid w:val="007A1ADF"/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hi-IN" w:bidi="hi-IN"/>
    </w:rPr>
  </w:style>
  <w:style w:type="paragraph" w:styleId="af">
    <w:name w:val="footer"/>
    <w:basedOn w:val="a"/>
    <w:link w:val="af0"/>
    <w:uiPriority w:val="99"/>
    <w:unhideWhenUsed/>
    <w:qFormat/>
    <w:rsid w:val="007A1A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7A1ADF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qFormat/>
    <w:rsid w:val="007A1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A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A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qFormat/>
    <w:rsid w:val="007A1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List Paragraph"/>
    <w:basedOn w:val="a"/>
    <w:qFormat/>
    <w:rsid w:val="007A1ADF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qFormat/>
    <w:rsid w:val="007A1ADF"/>
    <w:pPr>
      <w:suppressAutoHyphens/>
      <w:spacing w:after="0" w:line="240" w:lineRule="auto"/>
      <w:ind w:firstLine="567"/>
    </w:pPr>
    <w:rPr>
      <w:rFonts w:ascii="Times New Roman" w:eastAsia="SimSun" w:hAnsi="Times New Roman"/>
      <w:color w:val="000000"/>
      <w:kern w:val="2"/>
      <w:sz w:val="20"/>
      <w:szCs w:val="20"/>
      <w:lang w:eastAsia="hi-IN" w:bidi="hi-IN"/>
    </w:rPr>
  </w:style>
  <w:style w:type="paragraph" w:customStyle="1" w:styleId="Default">
    <w:name w:val="Default"/>
    <w:qFormat/>
    <w:rsid w:val="007A1A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Название объекта1"/>
    <w:basedOn w:val="a"/>
    <w:qFormat/>
    <w:rsid w:val="007A1ADF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10">
    <w:name w:val="Стиль 10 пт"/>
    <w:qFormat/>
    <w:rsid w:val="007A1ADF"/>
    <w:rPr>
      <w:sz w:val="20"/>
    </w:rPr>
  </w:style>
  <w:style w:type="character" w:styleId="af3">
    <w:name w:val="Placeholder Text"/>
    <w:uiPriority w:val="99"/>
    <w:semiHidden/>
    <w:qFormat/>
    <w:rsid w:val="007A1ADF"/>
    <w:rPr>
      <w:color w:val="808080"/>
    </w:rPr>
  </w:style>
  <w:style w:type="table" w:customStyle="1" w:styleId="11">
    <w:name w:val="Сетка таблицы1"/>
    <w:basedOn w:val="a1"/>
    <w:uiPriority w:val="59"/>
    <w:qFormat/>
    <w:rsid w:val="007A1AD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sid w:val="007A1ADF"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sid w:val="007A1ADF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rsid w:val="007A1ADF"/>
    <w:pPr>
      <w:suppressAutoHyphens/>
      <w:spacing w:after="0" w:line="240" w:lineRule="auto"/>
    </w:pPr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7A1ADF"/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paragraph" w:styleId="a7">
    <w:name w:val="endnote text"/>
    <w:basedOn w:val="a"/>
    <w:link w:val="a8"/>
    <w:uiPriority w:val="99"/>
    <w:unhideWhenUsed/>
    <w:qFormat/>
    <w:rsid w:val="007A1AD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qFormat/>
    <w:rsid w:val="007A1ADF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qFormat/>
    <w:rsid w:val="007A1ADF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customStyle="1" w:styleId="aa">
    <w:name w:val="Текст сноски Знак"/>
    <w:basedOn w:val="a0"/>
    <w:link w:val="a9"/>
    <w:uiPriority w:val="99"/>
    <w:semiHidden/>
    <w:qFormat/>
    <w:rsid w:val="007A1ADF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paragraph" w:styleId="ab">
    <w:name w:val="header"/>
    <w:basedOn w:val="a"/>
    <w:link w:val="ac"/>
    <w:uiPriority w:val="99"/>
    <w:unhideWhenUsed/>
    <w:qFormat/>
    <w:rsid w:val="007A1A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7A1ADF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qFormat/>
    <w:rsid w:val="007A1ADF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semiHidden/>
    <w:qFormat/>
    <w:rsid w:val="007A1ADF"/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hi-IN" w:bidi="hi-IN"/>
    </w:rPr>
  </w:style>
  <w:style w:type="paragraph" w:styleId="af">
    <w:name w:val="footer"/>
    <w:basedOn w:val="a"/>
    <w:link w:val="af0"/>
    <w:uiPriority w:val="99"/>
    <w:unhideWhenUsed/>
    <w:qFormat/>
    <w:rsid w:val="007A1A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7A1ADF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qFormat/>
    <w:rsid w:val="007A1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A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A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qFormat/>
    <w:rsid w:val="007A1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List Paragraph"/>
    <w:basedOn w:val="a"/>
    <w:qFormat/>
    <w:rsid w:val="007A1ADF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qFormat/>
    <w:rsid w:val="007A1ADF"/>
    <w:pPr>
      <w:suppressAutoHyphens/>
      <w:spacing w:after="0" w:line="240" w:lineRule="auto"/>
      <w:ind w:firstLine="567"/>
    </w:pPr>
    <w:rPr>
      <w:rFonts w:ascii="Times New Roman" w:eastAsia="SimSun" w:hAnsi="Times New Roman"/>
      <w:color w:val="000000"/>
      <w:kern w:val="2"/>
      <w:sz w:val="20"/>
      <w:szCs w:val="20"/>
      <w:lang w:eastAsia="hi-IN" w:bidi="hi-IN"/>
    </w:rPr>
  </w:style>
  <w:style w:type="paragraph" w:customStyle="1" w:styleId="Default">
    <w:name w:val="Default"/>
    <w:qFormat/>
    <w:rsid w:val="007A1A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Название объекта1"/>
    <w:basedOn w:val="a"/>
    <w:qFormat/>
    <w:rsid w:val="007A1ADF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10">
    <w:name w:val="Стиль 10 пт"/>
    <w:qFormat/>
    <w:rsid w:val="007A1ADF"/>
    <w:rPr>
      <w:sz w:val="20"/>
    </w:rPr>
  </w:style>
  <w:style w:type="character" w:styleId="af3">
    <w:name w:val="Placeholder Text"/>
    <w:uiPriority w:val="99"/>
    <w:semiHidden/>
    <w:qFormat/>
    <w:rsid w:val="007A1ADF"/>
    <w:rPr>
      <w:color w:val="808080"/>
    </w:rPr>
  </w:style>
  <w:style w:type="table" w:customStyle="1" w:styleId="11">
    <w:name w:val="Сетка таблицы1"/>
    <w:basedOn w:val="a1"/>
    <w:uiPriority w:val="59"/>
    <w:qFormat/>
    <w:rsid w:val="007A1AD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19767</Words>
  <Characters>112676</Characters>
  <Application>Microsoft Office Word</Application>
  <DocSecurity>0</DocSecurity>
  <Lines>938</Lines>
  <Paragraphs>264</Paragraphs>
  <ScaleCrop>false</ScaleCrop>
  <Company>Надежда</Company>
  <LinksUpToDate>false</LinksUpToDate>
  <CharactersWithSpaces>132179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</dc:creator>
  <cp:keywords/>
  <dc:description/>
  <cp:lastModifiedBy>Фёдоров</cp:lastModifiedBy>
  <cp:revision>2</cp:revision>
  <dcterms:created xsi:type="dcterms:W3CDTF">2021-03-04T12:18:00Z</dcterms:created>
  <dcterms:modified xsi:type="dcterms:W3CDTF">2021-03-04T12:18:00Z</dcterms:modified>
</cp:coreProperties>
</file>